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6738E5" w:rsidRPr="00D508E6" w:rsidRDefault="006738E5" w:rsidP="00D27FEA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>за</w:t>
      </w:r>
      <w:r w:rsidR="001959CA">
        <w:rPr>
          <w:b/>
          <w:sz w:val="28"/>
          <w:szCs w:val="28"/>
        </w:rPr>
        <w:t xml:space="preserve"> </w:t>
      </w:r>
      <w:r w:rsidR="00AF1B63">
        <w:rPr>
          <w:b/>
          <w:sz w:val="28"/>
          <w:szCs w:val="28"/>
        </w:rPr>
        <w:t>2016</w:t>
      </w:r>
      <w:r w:rsidR="00FB1FF1">
        <w:rPr>
          <w:b/>
          <w:sz w:val="28"/>
          <w:szCs w:val="28"/>
        </w:rPr>
        <w:t xml:space="preserve"> год</w:t>
      </w:r>
      <w:r w:rsidR="00D27FEA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FD67F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B63">
        <w:rPr>
          <w:sz w:val="28"/>
          <w:szCs w:val="28"/>
        </w:rPr>
        <w:t>2016</w:t>
      </w:r>
      <w:r w:rsidR="00761AF2">
        <w:rPr>
          <w:sz w:val="28"/>
          <w:szCs w:val="28"/>
        </w:rPr>
        <w:t xml:space="preserve"> </w:t>
      </w:r>
      <w:r w:rsidR="00D27FEA">
        <w:rPr>
          <w:sz w:val="28"/>
          <w:szCs w:val="28"/>
        </w:rPr>
        <w:t>году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D27FEA">
        <w:rPr>
          <w:b/>
          <w:sz w:val="28"/>
          <w:szCs w:val="28"/>
        </w:rPr>
        <w:t>76</w:t>
      </w:r>
      <w:r w:rsidR="000503D0" w:rsidRPr="00CA1498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.</w:t>
      </w:r>
    </w:p>
    <w:p w:rsidR="002A3AB4" w:rsidRDefault="00761AF2" w:rsidP="00D27FE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1959CA">
        <w:rPr>
          <w:sz w:val="28"/>
          <w:szCs w:val="28"/>
        </w:rPr>
        <w:t xml:space="preserve">в </w:t>
      </w:r>
      <w:r w:rsidR="00950D6D">
        <w:rPr>
          <w:sz w:val="28"/>
          <w:szCs w:val="28"/>
        </w:rPr>
        <w:t>201</w:t>
      </w:r>
      <w:r w:rsidR="00B65B4C">
        <w:rPr>
          <w:sz w:val="28"/>
          <w:szCs w:val="28"/>
        </w:rPr>
        <w:t>6</w:t>
      </w:r>
      <w:r w:rsidR="00FD67FF">
        <w:rPr>
          <w:sz w:val="28"/>
          <w:szCs w:val="28"/>
        </w:rPr>
        <w:t xml:space="preserve"> го</w:t>
      </w:r>
      <w:r w:rsidR="00D27FEA">
        <w:rPr>
          <w:sz w:val="28"/>
          <w:szCs w:val="28"/>
        </w:rPr>
        <w:t>ду</w:t>
      </w:r>
      <w:r w:rsidR="005451BD">
        <w:rPr>
          <w:sz w:val="28"/>
          <w:szCs w:val="28"/>
        </w:rPr>
        <w:t xml:space="preserve"> обращений на</w:t>
      </w:r>
      <w:r w:rsidR="00FD67FF">
        <w:rPr>
          <w:sz w:val="28"/>
          <w:szCs w:val="28"/>
        </w:rPr>
        <w:t xml:space="preserve"> </w:t>
      </w:r>
      <w:r w:rsidR="00D27FEA" w:rsidRPr="00D27FEA">
        <w:rPr>
          <w:sz w:val="28"/>
          <w:szCs w:val="28"/>
        </w:rPr>
        <w:t>11,8</w:t>
      </w:r>
      <w:r w:rsidR="00AF1B63" w:rsidRPr="00D27FEA">
        <w:rPr>
          <w:sz w:val="28"/>
          <w:szCs w:val="28"/>
        </w:rPr>
        <w:t xml:space="preserve"> %</w:t>
      </w:r>
      <w:r w:rsidR="00950D6D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больше</w:t>
      </w:r>
      <w:r w:rsidR="00950D6D">
        <w:rPr>
          <w:sz w:val="28"/>
          <w:szCs w:val="28"/>
        </w:rPr>
        <w:t xml:space="preserve"> (</w:t>
      </w:r>
      <w:r w:rsidR="00D27FEA">
        <w:rPr>
          <w:sz w:val="28"/>
          <w:szCs w:val="28"/>
        </w:rPr>
        <w:t>8</w:t>
      </w:r>
      <w:r>
        <w:rPr>
          <w:sz w:val="28"/>
          <w:szCs w:val="28"/>
        </w:rPr>
        <w:t>), чем</w:t>
      </w:r>
      <w:r w:rsidR="00B65B4C" w:rsidRPr="00B65B4C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за аналогичный период</w:t>
      </w:r>
      <w:r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 xml:space="preserve"> 201</w:t>
      </w:r>
      <w:r w:rsidR="00B65B4C">
        <w:rPr>
          <w:sz w:val="28"/>
          <w:szCs w:val="28"/>
        </w:rPr>
        <w:t>5</w:t>
      </w:r>
      <w:r w:rsidR="00AE4E46">
        <w:rPr>
          <w:sz w:val="28"/>
          <w:szCs w:val="28"/>
        </w:rPr>
        <w:t xml:space="preserve"> года</w:t>
      </w:r>
      <w:r w:rsidR="00950D6D">
        <w:rPr>
          <w:sz w:val="28"/>
          <w:szCs w:val="28"/>
        </w:rPr>
        <w:t xml:space="preserve"> </w:t>
      </w:r>
      <w:r w:rsidR="001959CA">
        <w:rPr>
          <w:sz w:val="28"/>
          <w:szCs w:val="28"/>
        </w:rPr>
        <w:t>(</w:t>
      </w:r>
      <w:r w:rsidR="00D27FEA">
        <w:rPr>
          <w:sz w:val="28"/>
          <w:szCs w:val="28"/>
        </w:rPr>
        <w:t>68</w:t>
      </w:r>
      <w:r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AF1B63">
        <w:rPr>
          <w:sz w:val="28"/>
          <w:szCs w:val="28"/>
        </w:rPr>
        <w:t>2016</w:t>
      </w:r>
      <w:r w:rsidR="00FD67FF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D27FEA">
        <w:rPr>
          <w:sz w:val="28"/>
          <w:szCs w:val="28"/>
        </w:rPr>
        <w:t>1,9</w:t>
      </w:r>
      <w:r w:rsidR="00761AF2" w:rsidRPr="00AE4E46">
        <w:rPr>
          <w:sz w:val="28"/>
          <w:szCs w:val="28"/>
        </w:rPr>
        <w:t>%,</w:t>
      </w:r>
      <w:r w:rsidR="00AF1B63">
        <w:rPr>
          <w:sz w:val="28"/>
          <w:szCs w:val="28"/>
        </w:rPr>
        <w:t xml:space="preserve">  за 2015</w:t>
      </w:r>
      <w:r w:rsidR="00761AF2" w:rsidRPr="002A4098">
        <w:rPr>
          <w:sz w:val="28"/>
          <w:szCs w:val="28"/>
        </w:rPr>
        <w:t xml:space="preserve"> – </w:t>
      </w:r>
      <w:r w:rsidR="00D27FEA">
        <w:rPr>
          <w:sz w:val="28"/>
          <w:szCs w:val="28"/>
        </w:rPr>
        <w:t>1,7</w:t>
      </w:r>
      <w:r w:rsidR="00761AF2" w:rsidRPr="00AE4E46">
        <w:rPr>
          <w:sz w:val="28"/>
          <w:szCs w:val="28"/>
        </w:rPr>
        <w:t xml:space="preserve">% </w:t>
      </w:r>
      <w:r w:rsidR="00761AF2">
        <w:rPr>
          <w:sz w:val="28"/>
          <w:szCs w:val="28"/>
        </w:rPr>
        <w:t>(</w:t>
      </w:r>
      <w:r w:rsidR="00AF1B63">
        <w:rPr>
          <w:sz w:val="28"/>
          <w:szCs w:val="28"/>
        </w:rPr>
        <w:t>4100 жителей на 01.01.2015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AF1B63">
        <w:rPr>
          <w:sz w:val="28"/>
          <w:szCs w:val="28"/>
        </w:rPr>
        <w:t>2015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и 2015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lastRenderedPageBreak/>
              <w:t xml:space="preserve">Количество обращений, поступивших в форме электронного документа, в </w:t>
            </w:r>
            <w:r w:rsidRPr="00F925EB">
              <w:rPr>
                <w:sz w:val="24"/>
                <w:szCs w:val="24"/>
              </w:rPr>
              <w:lastRenderedPageBreak/>
              <w:t>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D27FEA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D27FEA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1959CA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761AF2" w:rsidRPr="00AE4E46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761AF2" w:rsidRPr="00AE4E46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AE4E46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7324CE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AE4E46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1959CA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 w:rsidR="00761AF2" w:rsidRPr="00AE4E46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761AF2" w:rsidRPr="00AE4E46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2A4098" w:rsidRPr="00AE4E46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950D6D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950D6D" w:rsidRDefault="004539D1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2016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5027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539D1">
        <w:rPr>
          <w:sz w:val="28"/>
          <w:szCs w:val="28"/>
        </w:rPr>
        <w:t>015 году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4821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D44821">
        <w:rPr>
          <w:sz w:val="28"/>
          <w:szCs w:val="28"/>
        </w:rPr>
        <w:t>за  2015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4539D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4821" w:rsidP="004539D1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4539D1" w:rsidP="005B6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701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4539D1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4539D1" w:rsidP="005027F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4539D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A4098" w:rsidRDefault="004539D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B82A71">
        <w:rPr>
          <w:sz w:val="28"/>
          <w:szCs w:val="28"/>
        </w:rPr>
        <w:t>5 года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 xml:space="preserve">поступило </w:t>
      </w:r>
      <w:r w:rsidR="005C6FB7">
        <w:rPr>
          <w:b/>
          <w:sz w:val="28"/>
          <w:szCs w:val="28"/>
        </w:rPr>
        <w:t>4</w:t>
      </w:r>
      <w:r w:rsidRPr="00961F85">
        <w:rPr>
          <w:b/>
          <w:sz w:val="28"/>
          <w:szCs w:val="28"/>
        </w:rPr>
        <w:t xml:space="preserve"> </w:t>
      </w:r>
      <w:r w:rsidRPr="00AE4E46">
        <w:rPr>
          <w:b/>
          <w:sz w:val="28"/>
          <w:szCs w:val="28"/>
        </w:rPr>
        <w:t>(</w:t>
      </w:r>
      <w:r w:rsidR="00F85325" w:rsidRPr="00AE4E46">
        <w:rPr>
          <w:b/>
          <w:sz w:val="28"/>
          <w:szCs w:val="28"/>
        </w:rPr>
        <w:t>7,1</w:t>
      </w:r>
      <w:r w:rsidRPr="005F6CC5">
        <w:rPr>
          <w:b/>
          <w:color w:val="000000" w:themeColor="text1"/>
          <w:sz w:val="28"/>
          <w:szCs w:val="28"/>
        </w:rPr>
        <w:t xml:space="preserve">%) </w:t>
      </w:r>
      <w:r w:rsidR="00950D6D">
        <w:rPr>
          <w:b/>
          <w:sz w:val="28"/>
          <w:szCs w:val="28"/>
        </w:rPr>
        <w:t>коллективное</w:t>
      </w:r>
      <w:r w:rsidRPr="00961F85">
        <w:rPr>
          <w:b/>
          <w:sz w:val="28"/>
          <w:szCs w:val="28"/>
        </w:rPr>
        <w:t xml:space="preserve"> обращени</w:t>
      </w:r>
      <w:r w:rsidR="00950D6D">
        <w:rPr>
          <w:b/>
          <w:sz w:val="28"/>
          <w:szCs w:val="28"/>
        </w:rPr>
        <w:t>е</w:t>
      </w:r>
      <w:r w:rsidR="00DC234C" w:rsidRPr="00961F85">
        <w:rPr>
          <w:sz w:val="28"/>
          <w:szCs w:val="28"/>
        </w:rPr>
        <w:t>.</w:t>
      </w:r>
      <w:r w:rsidR="000B5A7C" w:rsidRPr="00961F85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>В 2016 году коллективные обращения не поступали.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AE281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3424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5C6FB7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E2816" w:rsidRPr="00AE4E46" w:rsidRDefault="00AE2816" w:rsidP="005C6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4E46">
              <w:rPr>
                <w:sz w:val="28"/>
                <w:szCs w:val="28"/>
              </w:rPr>
              <w:t>(</w:t>
            </w:r>
            <w:r w:rsidR="005C6FB7">
              <w:rPr>
                <w:sz w:val="28"/>
                <w:szCs w:val="28"/>
              </w:rPr>
              <w:t>5,9</w:t>
            </w:r>
            <w:r w:rsidRPr="00AE4E46"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5C6FB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2816" w:rsidRPr="00DC234C" w:rsidRDefault="00AE2816" w:rsidP="005F6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C6FB7">
              <w:rPr>
                <w:sz w:val="28"/>
                <w:szCs w:val="28"/>
              </w:rPr>
              <w:t>3,9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183E38" w:rsidP="00183E38">
      <w:pPr>
        <w:ind w:firstLine="708"/>
        <w:jc w:val="both"/>
        <w:rPr>
          <w:color w:val="FF0000"/>
          <w:sz w:val="28"/>
          <w:szCs w:val="28"/>
        </w:rPr>
      </w:pPr>
      <w:r w:rsidRPr="00154EB3">
        <w:rPr>
          <w:sz w:val="28"/>
          <w:szCs w:val="28"/>
        </w:rPr>
        <w:t xml:space="preserve">Наибольшее количество обращений </w:t>
      </w:r>
      <w:r w:rsidR="005027F8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 2016</w:t>
      </w:r>
      <w:r w:rsidR="005C6FB7">
        <w:rPr>
          <w:sz w:val="28"/>
          <w:szCs w:val="28"/>
        </w:rPr>
        <w:t xml:space="preserve"> году</w:t>
      </w:r>
      <w:r w:rsidR="00950D6D">
        <w:rPr>
          <w:sz w:val="28"/>
          <w:szCs w:val="28"/>
        </w:rPr>
        <w:t xml:space="preserve"> </w:t>
      </w:r>
      <w:r w:rsidRPr="00154EB3">
        <w:rPr>
          <w:sz w:val="28"/>
          <w:szCs w:val="28"/>
        </w:rPr>
        <w:t xml:space="preserve">поступило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0D6D">
        <w:rPr>
          <w:sz w:val="28"/>
          <w:szCs w:val="28"/>
        </w:rPr>
        <w:t xml:space="preserve"> </w:t>
      </w:r>
      <w:r w:rsidR="005C6FB7">
        <w:rPr>
          <w:sz w:val="28"/>
          <w:szCs w:val="28"/>
        </w:rPr>
        <w:t>76</w:t>
      </w:r>
      <w:r>
        <w:rPr>
          <w:sz w:val="28"/>
          <w:szCs w:val="28"/>
        </w:rPr>
        <w:t xml:space="preserve"> обращений</w:t>
      </w:r>
      <w:r w:rsidR="005027F8">
        <w:rPr>
          <w:sz w:val="28"/>
          <w:szCs w:val="28"/>
        </w:rPr>
        <w:t xml:space="preserve">. </w:t>
      </w:r>
      <w:r w:rsidRPr="0049399B">
        <w:rPr>
          <w:sz w:val="28"/>
          <w:szCs w:val="28"/>
        </w:rPr>
        <w:t>Часть обращений</w:t>
      </w:r>
      <w:r w:rsidRPr="00FB7DE3">
        <w:rPr>
          <w:color w:val="FF0000"/>
          <w:sz w:val="28"/>
          <w:szCs w:val="28"/>
        </w:rPr>
        <w:t xml:space="preserve"> </w:t>
      </w:r>
      <w:r w:rsidRPr="0049399B">
        <w:rPr>
          <w:sz w:val="28"/>
          <w:szCs w:val="28"/>
        </w:rPr>
        <w:t xml:space="preserve">жители </w:t>
      </w:r>
      <w:r w:rsidR="00B505C6">
        <w:rPr>
          <w:sz w:val="28"/>
          <w:szCs w:val="28"/>
        </w:rPr>
        <w:t>поселения</w:t>
      </w:r>
      <w:r w:rsidRPr="0049399B">
        <w:rPr>
          <w:sz w:val="28"/>
          <w:szCs w:val="28"/>
        </w:rPr>
        <w:t xml:space="preserve"> адресуют в другие инстанции, в том числе в </w:t>
      </w:r>
      <w:r w:rsidRPr="00FE0522">
        <w:rPr>
          <w:b/>
          <w:sz w:val="28"/>
          <w:szCs w:val="28"/>
        </w:rPr>
        <w:t>вышестоящие органы власти</w:t>
      </w:r>
      <w:r w:rsidRPr="0049399B">
        <w:rPr>
          <w:sz w:val="28"/>
          <w:szCs w:val="28"/>
        </w:rPr>
        <w:t>.</w:t>
      </w:r>
      <w:r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559"/>
        <w:gridCol w:w="1701"/>
      </w:tblGrid>
      <w:tr w:rsidR="0025759A" w:rsidRPr="0051674F" w:rsidTr="00F8532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6B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50D6D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</w:p>
          <w:p w:rsidR="0025759A" w:rsidRPr="0051674F" w:rsidRDefault="0025759A" w:rsidP="005027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E11113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B505C6" w:rsidRDefault="006F7F1A" w:rsidP="006F256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3F57" w:rsidRPr="00AE4E46" w:rsidRDefault="005C6FB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7F8" w:rsidRPr="00AE4E46">
              <w:rPr>
                <w:sz w:val="28"/>
                <w:szCs w:val="28"/>
              </w:rPr>
              <w:t>,3</w:t>
            </w:r>
            <w:r w:rsidR="006F7F1A" w:rsidRPr="00AE4E46">
              <w:rPr>
                <w:sz w:val="28"/>
                <w:szCs w:val="28"/>
              </w:rPr>
              <w:t>%</w:t>
            </w:r>
          </w:p>
          <w:p w:rsidR="006F7F1A" w:rsidRPr="00AE4E46" w:rsidRDefault="006F7F1A" w:rsidP="006F2563">
            <w:pPr>
              <w:jc w:val="center"/>
              <w:rPr>
                <w:sz w:val="28"/>
                <w:szCs w:val="28"/>
              </w:rPr>
            </w:pPr>
          </w:p>
          <w:p w:rsidR="006F7F1A" w:rsidRPr="00AE4E46" w:rsidRDefault="005C6FB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7F8" w:rsidRPr="00AE4E46">
              <w:rPr>
                <w:sz w:val="28"/>
                <w:szCs w:val="28"/>
              </w:rPr>
              <w:t>,3</w:t>
            </w:r>
            <w:r w:rsidR="006F7F1A" w:rsidRPr="00AE4E46">
              <w:rPr>
                <w:sz w:val="28"/>
                <w:szCs w:val="28"/>
              </w:rPr>
              <w:t>%</w:t>
            </w:r>
          </w:p>
          <w:p w:rsidR="00643F57" w:rsidRPr="002A4098" w:rsidRDefault="00643F57" w:rsidP="006F2563">
            <w:pPr>
              <w:jc w:val="center"/>
              <w:rPr>
                <w:sz w:val="28"/>
                <w:szCs w:val="28"/>
              </w:rPr>
            </w:pP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5759A" w:rsidRPr="006F7F1A" w:rsidRDefault="006F7F1A" w:rsidP="006F2563">
            <w:pPr>
              <w:jc w:val="center"/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нет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B505C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559" w:type="dxa"/>
          </w:tcPr>
          <w:p w:rsidR="0025759A" w:rsidRPr="0051674F" w:rsidRDefault="005C6FB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759A" w:rsidRPr="002A4098" w:rsidRDefault="005C6FB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6F7F1A">
        <w:rPr>
          <w:b/>
          <w:sz w:val="28"/>
          <w:szCs w:val="28"/>
        </w:rPr>
        <w:t xml:space="preserve">ено </w:t>
      </w:r>
      <w:r w:rsidR="00471CB4">
        <w:rPr>
          <w:b/>
          <w:sz w:val="28"/>
          <w:szCs w:val="28"/>
        </w:rPr>
        <w:t>18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6F7F1A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="00471CB4">
        <w:rPr>
          <w:b/>
          <w:sz w:val="28"/>
          <w:szCs w:val="28"/>
        </w:rPr>
        <w:t>76</w:t>
      </w:r>
      <w:r w:rsidR="00E96007">
        <w:rPr>
          <w:b/>
          <w:sz w:val="28"/>
          <w:szCs w:val="28"/>
        </w:rPr>
        <w:t> заявителей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B82A71">
        <w:rPr>
          <w:sz w:val="28"/>
          <w:szCs w:val="28"/>
        </w:rPr>
        <w:t>6</w:t>
      </w:r>
      <w:r w:rsidR="006F7F1A">
        <w:rPr>
          <w:sz w:val="28"/>
          <w:szCs w:val="28"/>
        </w:rPr>
        <w:t xml:space="preserve">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4F5001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5B4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2A4098" w:rsidRDefault="0016328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C65B4" w:rsidRPr="002A4098" w:rsidRDefault="0016328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18,4%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D21692" w:rsidP="002C65B4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34" w:type="dxa"/>
          </w:tcPr>
          <w:p w:rsidR="00D21692" w:rsidRPr="003A2B10" w:rsidRDefault="00D6754B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21692" w:rsidRPr="00AE4E46" w:rsidRDefault="0016328C">
            <w:r>
              <w:t>7,9%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3A2B10" w:rsidP="003A2B10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Социальное обеспечение, материальная помощь многодетным и пенсионерам и малообеспеченным слоям населения</w:t>
            </w:r>
          </w:p>
        </w:tc>
        <w:tc>
          <w:tcPr>
            <w:tcW w:w="1134" w:type="dxa"/>
          </w:tcPr>
          <w:p w:rsidR="00D21692" w:rsidRPr="003A2B10" w:rsidRDefault="00FB3220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1692" w:rsidRPr="00AE4E46" w:rsidRDefault="0016328C">
            <w:r>
              <w:t>2,6%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AE4E46" w:rsidRDefault="003A2B10" w:rsidP="003A2B10">
            <w:pPr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Социально-экономическое развитие сельских муниципальных образований</w:t>
            </w:r>
          </w:p>
        </w:tc>
        <w:tc>
          <w:tcPr>
            <w:tcW w:w="1134" w:type="dxa"/>
          </w:tcPr>
          <w:p w:rsidR="00D21692" w:rsidRPr="003A2B10" w:rsidRDefault="00D21692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B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Default="0016328C">
            <w:r>
              <w:t>1,3%</w:t>
            </w:r>
          </w:p>
        </w:tc>
      </w:tr>
      <w:tr w:rsidR="006F7F1A" w:rsidRPr="003C313A" w:rsidTr="002C65B4"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ветеринарной службы</w:t>
            </w:r>
          </w:p>
        </w:tc>
        <w:tc>
          <w:tcPr>
            <w:tcW w:w="1134" w:type="dxa"/>
          </w:tcPr>
          <w:p w:rsidR="006F7F1A" w:rsidRPr="00AE4E46" w:rsidRDefault="00D6754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F1A" w:rsidRPr="00AE4E46" w:rsidRDefault="00163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</w:tr>
      <w:tr w:rsidR="00D6754B" w:rsidRPr="003C313A" w:rsidTr="002C65B4">
        <w:tc>
          <w:tcPr>
            <w:tcW w:w="708" w:type="dxa"/>
          </w:tcPr>
          <w:p w:rsidR="00D6754B" w:rsidRPr="003C313A" w:rsidRDefault="00D6754B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6754B" w:rsidRDefault="00D6754B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наследство</w:t>
            </w:r>
          </w:p>
        </w:tc>
        <w:tc>
          <w:tcPr>
            <w:tcW w:w="1134" w:type="dxa"/>
          </w:tcPr>
          <w:p w:rsidR="00D6754B" w:rsidRDefault="00D6754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754B" w:rsidRPr="00AE4E46" w:rsidRDefault="0016328C">
            <w:pPr>
              <w:rPr>
                <w:sz w:val="28"/>
                <w:szCs w:val="28"/>
              </w:rPr>
            </w:pPr>
            <w:r>
              <w:t>1,3%</w:t>
            </w:r>
          </w:p>
        </w:tc>
      </w:tr>
      <w:tr w:rsidR="00D6754B" w:rsidRPr="003C313A" w:rsidTr="002C65B4">
        <w:tc>
          <w:tcPr>
            <w:tcW w:w="708" w:type="dxa"/>
          </w:tcPr>
          <w:p w:rsidR="00D6754B" w:rsidRPr="003C313A" w:rsidRDefault="00D6754B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6754B" w:rsidRDefault="00D6754B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Связь. Интернет</w:t>
            </w:r>
          </w:p>
        </w:tc>
        <w:tc>
          <w:tcPr>
            <w:tcW w:w="1134" w:type="dxa"/>
          </w:tcPr>
          <w:p w:rsidR="00D6754B" w:rsidRDefault="00D6754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754B" w:rsidRPr="00AE4E46" w:rsidRDefault="0016328C">
            <w:pPr>
              <w:rPr>
                <w:sz w:val="28"/>
                <w:szCs w:val="28"/>
              </w:rPr>
            </w:pPr>
            <w:r>
              <w:t>1,3%</w:t>
            </w:r>
          </w:p>
        </w:tc>
      </w:tr>
      <w:tr w:rsidR="00D6754B" w:rsidRPr="003C313A" w:rsidTr="002C65B4">
        <w:tc>
          <w:tcPr>
            <w:tcW w:w="708" w:type="dxa"/>
          </w:tcPr>
          <w:p w:rsidR="00D6754B" w:rsidRPr="003C313A" w:rsidRDefault="00D6754B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6754B" w:rsidRDefault="00D6754B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134" w:type="dxa"/>
          </w:tcPr>
          <w:p w:rsidR="00D6754B" w:rsidRDefault="00D6754B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754B" w:rsidRPr="00AE4E46" w:rsidRDefault="0016328C">
            <w:pPr>
              <w:rPr>
                <w:sz w:val="28"/>
                <w:szCs w:val="28"/>
              </w:rPr>
            </w:pPr>
            <w:r>
              <w:t>1,3%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6F7F1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2A4098" w:rsidRDefault="0016328C" w:rsidP="005F6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AE4232" w:rsidRPr="002A4098" w:rsidRDefault="0016328C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55,3%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AE4232" w:rsidRPr="003A2B10" w:rsidRDefault="00D6754B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E4232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3A2B10" w:rsidRDefault="00D6754B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E4232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7,9%</w:t>
            </w:r>
          </w:p>
        </w:tc>
      </w:tr>
      <w:tr w:rsidR="00D6754B" w:rsidRPr="003C313A" w:rsidTr="000D1B5F">
        <w:tc>
          <w:tcPr>
            <w:tcW w:w="708" w:type="dxa"/>
          </w:tcPr>
          <w:p w:rsidR="00D6754B" w:rsidRPr="003C313A" w:rsidRDefault="00D6754B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6754B" w:rsidRPr="006F7F1A" w:rsidRDefault="00625C40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D6754B" w:rsidRDefault="00625C40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754B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625C40" w:rsidRPr="003C313A" w:rsidTr="000D1B5F">
        <w:tc>
          <w:tcPr>
            <w:tcW w:w="708" w:type="dxa"/>
          </w:tcPr>
          <w:p w:rsidR="00625C40" w:rsidRPr="003C313A" w:rsidRDefault="00625C40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25C40" w:rsidRDefault="00625C40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625C40" w:rsidRDefault="00625C40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25C40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625C40" w:rsidRPr="003C313A" w:rsidTr="000D1B5F">
        <w:tc>
          <w:tcPr>
            <w:tcW w:w="708" w:type="dxa"/>
          </w:tcPr>
          <w:p w:rsidR="00625C40" w:rsidRPr="003C313A" w:rsidRDefault="00625C40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25C40" w:rsidRDefault="00625C40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</w:t>
            </w:r>
          </w:p>
        </w:tc>
        <w:tc>
          <w:tcPr>
            <w:tcW w:w="1134" w:type="dxa"/>
          </w:tcPr>
          <w:p w:rsidR="00625C40" w:rsidRDefault="00625C40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25C40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625C40" w:rsidRPr="003C313A" w:rsidTr="000D1B5F">
        <w:tc>
          <w:tcPr>
            <w:tcW w:w="708" w:type="dxa"/>
          </w:tcPr>
          <w:p w:rsidR="00625C40" w:rsidRPr="003C313A" w:rsidRDefault="00625C40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25C40" w:rsidRDefault="0016328C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625C40" w:rsidRDefault="0016328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5C40" w:rsidRPr="00AE4E46" w:rsidRDefault="0016328C" w:rsidP="00D2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</w:tr>
      <w:tr w:rsidR="00FC40F4" w:rsidRPr="003C313A" w:rsidTr="000D1B5F">
        <w:trPr>
          <w:trHeight w:val="70"/>
        </w:trPr>
        <w:tc>
          <w:tcPr>
            <w:tcW w:w="708" w:type="dxa"/>
          </w:tcPr>
          <w:p w:rsidR="00FC40F4" w:rsidRPr="00AE4E46" w:rsidRDefault="00AE4E46" w:rsidP="00844055">
            <w:pPr>
              <w:jc w:val="center"/>
              <w:rPr>
                <w:b/>
                <w:sz w:val="28"/>
                <w:szCs w:val="28"/>
              </w:rPr>
            </w:pPr>
            <w:r w:rsidRPr="00AE4E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:rsidR="00FC40F4" w:rsidRPr="00F85325" w:rsidRDefault="001B2E94" w:rsidP="00AE4232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7" w:tgtFrame="info" w:tooltip="Подробная информация" w:history="1">
              <w:r w:rsidR="003A2B10" w:rsidRPr="00F85325"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Иные вопросы (оплата строительства, содержания и ремонта жилья (кредиты, компенсации, субсидии, льготы) </w:t>
              </w:r>
            </w:hyperlink>
          </w:p>
        </w:tc>
        <w:tc>
          <w:tcPr>
            <w:tcW w:w="1134" w:type="dxa"/>
          </w:tcPr>
          <w:p w:rsidR="00FC40F4" w:rsidRPr="00F85325" w:rsidRDefault="0016328C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C40F4" w:rsidRPr="00F85325" w:rsidRDefault="0016328C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14,5%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6F7F1A" w:rsidRPr="003A2B10" w:rsidRDefault="0016328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F7F1A" w:rsidRDefault="0016328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AE4E46" w:rsidRDefault="00AE4E46" w:rsidP="00844055">
            <w:pPr>
              <w:jc w:val="center"/>
              <w:rPr>
                <w:b/>
                <w:sz w:val="28"/>
                <w:szCs w:val="28"/>
              </w:rPr>
            </w:pPr>
            <w:r w:rsidRPr="00AE4E4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F7F1A" w:rsidRPr="00F85325" w:rsidRDefault="0016328C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F7F1A" w:rsidRPr="00F85325" w:rsidRDefault="0016328C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134" w:type="dxa"/>
          </w:tcPr>
          <w:p w:rsidR="006F7F1A" w:rsidRDefault="0016328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F7F1A" w:rsidRDefault="0016328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9,2%</w:t>
            </w:r>
          </w:p>
        </w:tc>
      </w:tr>
      <w:tr w:rsidR="00A4573A" w:rsidRPr="003C313A" w:rsidTr="000D1B5F">
        <w:trPr>
          <w:trHeight w:val="70"/>
        </w:trPr>
        <w:tc>
          <w:tcPr>
            <w:tcW w:w="708" w:type="dxa"/>
          </w:tcPr>
          <w:p w:rsidR="00A4573A" w:rsidRPr="003C313A" w:rsidRDefault="00A4573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4573A" w:rsidRDefault="00A4573A" w:rsidP="00AE4232">
            <w:pPr>
              <w:rPr>
                <w:sz w:val="28"/>
                <w:szCs w:val="28"/>
              </w:rPr>
            </w:pPr>
            <w:r w:rsidRPr="00723A51">
              <w:rPr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A4573A" w:rsidRDefault="0016328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4573A" w:rsidRDefault="0016328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1,3%</w:t>
            </w:r>
          </w:p>
        </w:tc>
      </w:tr>
      <w:tr w:rsidR="0016328C" w:rsidRPr="003C313A" w:rsidTr="000D1B5F">
        <w:trPr>
          <w:trHeight w:val="70"/>
        </w:trPr>
        <w:tc>
          <w:tcPr>
            <w:tcW w:w="708" w:type="dxa"/>
          </w:tcPr>
          <w:p w:rsidR="0016328C" w:rsidRPr="0016328C" w:rsidRDefault="0016328C" w:rsidP="00844055">
            <w:pPr>
              <w:jc w:val="center"/>
              <w:rPr>
                <w:b/>
                <w:sz w:val="28"/>
                <w:szCs w:val="28"/>
              </w:rPr>
            </w:pPr>
            <w:r w:rsidRPr="0016328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16328C" w:rsidRPr="0016328C" w:rsidRDefault="0016328C" w:rsidP="00AE4232">
            <w:pPr>
              <w:rPr>
                <w:b/>
                <w:sz w:val="28"/>
                <w:szCs w:val="28"/>
              </w:rPr>
            </w:pPr>
            <w:r w:rsidRPr="0016328C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16328C" w:rsidRPr="0016328C" w:rsidRDefault="0016328C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328C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328C" w:rsidRPr="0016328C" w:rsidRDefault="0016328C" w:rsidP="000D1B5F">
            <w:pPr>
              <w:jc w:val="center"/>
              <w:rPr>
                <w:b/>
                <w:sz w:val="28"/>
                <w:szCs w:val="28"/>
              </w:rPr>
            </w:pPr>
            <w:r w:rsidRPr="0016328C">
              <w:rPr>
                <w:b/>
                <w:sz w:val="28"/>
                <w:szCs w:val="28"/>
              </w:rPr>
              <w:t>2,6%</w:t>
            </w:r>
          </w:p>
        </w:tc>
      </w:tr>
      <w:tr w:rsidR="0016328C" w:rsidRPr="003C313A" w:rsidTr="000D1B5F">
        <w:trPr>
          <w:trHeight w:val="70"/>
        </w:trPr>
        <w:tc>
          <w:tcPr>
            <w:tcW w:w="708" w:type="dxa"/>
          </w:tcPr>
          <w:p w:rsidR="0016328C" w:rsidRDefault="0016328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6328C" w:rsidRDefault="0016328C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16328C" w:rsidRDefault="0016328C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6328C" w:rsidRDefault="0016328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0D1B5F" w:rsidP="00FB322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946788"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946788" w:rsidP="00FB3220">
            <w:pPr>
              <w:jc w:val="center"/>
              <w:rPr>
                <w:sz w:val="28"/>
                <w:szCs w:val="28"/>
              </w:rPr>
            </w:pP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63600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D1B5F" w:rsidRPr="00FC40F4" w:rsidRDefault="000D1B5F" w:rsidP="00FB3220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63600C">
              <w:rPr>
                <w:sz w:val="28"/>
                <w:szCs w:val="28"/>
              </w:rPr>
              <w:t>33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63600C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D1B5F" w:rsidRPr="00FC40F4" w:rsidRDefault="0005036B" w:rsidP="00FB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38EF">
              <w:rPr>
                <w:sz w:val="28"/>
                <w:szCs w:val="28"/>
              </w:rPr>
              <w:t>21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63600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0D1B5F" w:rsidRPr="00FC40F4" w:rsidRDefault="00F85325" w:rsidP="00CE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38EF">
              <w:rPr>
                <w:sz w:val="28"/>
                <w:szCs w:val="28"/>
              </w:rPr>
              <w:t>46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63600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0D1B5F" w:rsidRPr="00FC40F4" w:rsidRDefault="000D1B5F" w:rsidP="00FB3220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CE38EF">
              <w:rPr>
                <w:sz w:val="28"/>
                <w:szCs w:val="28"/>
              </w:rPr>
              <w:t>28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B9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358A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году 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 w:rsidR="008F29F3">
        <w:rPr>
          <w:sz w:val="28"/>
          <w:szCs w:val="28"/>
        </w:rPr>
        <w:t xml:space="preserve">Новоегорлыкского сельского поселения находились </w:t>
      </w:r>
      <w:r>
        <w:rPr>
          <w:sz w:val="28"/>
          <w:szCs w:val="28"/>
        </w:rPr>
        <w:t>76</w:t>
      </w:r>
      <w:r w:rsidR="008F4483">
        <w:rPr>
          <w:sz w:val="28"/>
          <w:szCs w:val="28"/>
        </w:rPr>
        <w:t xml:space="preserve"> </w:t>
      </w:r>
      <w:r w:rsidR="008F29F3">
        <w:rPr>
          <w:sz w:val="28"/>
          <w:szCs w:val="28"/>
        </w:rPr>
        <w:t>обращений</w:t>
      </w:r>
      <w:r w:rsidR="007464AB"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99"/>
        <w:gridCol w:w="1560"/>
        <w:gridCol w:w="1559"/>
      </w:tblGrid>
      <w:tr w:rsidR="00A0358A" w:rsidRPr="000503D0" w:rsidTr="00A0358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Default="00A0358A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AC3EED" w:rsidRDefault="00A0358A" w:rsidP="00F725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2016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603424" w:rsidRDefault="00A0358A" w:rsidP="00F725C2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FC40F4" w:rsidRDefault="00746B9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A0358A" w:rsidRPr="00FC40F4" w:rsidRDefault="00A0358A" w:rsidP="00746B91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 xml:space="preserve"> (</w:t>
            </w:r>
            <w:r w:rsidR="00746B91">
              <w:rPr>
                <w:sz w:val="28"/>
                <w:szCs w:val="28"/>
              </w:rPr>
              <w:t>45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FC40F4" w:rsidRDefault="00CC31A1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358A" w:rsidRPr="00FC40F4">
              <w:rPr>
                <w:sz w:val="28"/>
                <w:szCs w:val="28"/>
              </w:rPr>
              <w:t xml:space="preserve"> </w:t>
            </w:r>
          </w:p>
          <w:p w:rsidR="00A0358A" w:rsidRPr="00FC40F4" w:rsidRDefault="00A0358A" w:rsidP="00CC31A1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CC31A1">
              <w:rPr>
                <w:sz w:val="28"/>
                <w:szCs w:val="28"/>
              </w:rPr>
              <w:t>44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  <w:tr w:rsidR="00746B91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746B91" w:rsidRPr="00603424" w:rsidRDefault="00746B91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46B91" w:rsidRPr="00603424" w:rsidRDefault="00746B91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6B91" w:rsidRDefault="00CC31A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C31A1" w:rsidRDefault="00CC31A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(2,6%)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6B91" w:rsidRDefault="00CC31A1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C31A1" w:rsidRDefault="00CC31A1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(0,0%)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560" w:type="dxa"/>
          </w:tcPr>
          <w:p w:rsidR="00A0358A" w:rsidRPr="00FC40F4" w:rsidRDefault="00CC31A1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A0358A" w:rsidRPr="00FC40F4" w:rsidRDefault="00A0358A" w:rsidP="00CC31A1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CC31A1">
              <w:rPr>
                <w:sz w:val="28"/>
                <w:szCs w:val="28"/>
              </w:rPr>
              <w:t>55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A0358A" w:rsidRPr="00FC40F4" w:rsidRDefault="00CC31A1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A0358A" w:rsidRPr="00FC40F4" w:rsidRDefault="00A0358A" w:rsidP="00CC31A1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CC31A1">
              <w:rPr>
                <w:sz w:val="28"/>
                <w:szCs w:val="28"/>
              </w:rPr>
              <w:t>53</w:t>
            </w:r>
            <w:r w:rsidR="008F4483">
              <w:rPr>
                <w:sz w:val="28"/>
                <w:szCs w:val="28"/>
              </w:rPr>
              <w:t>%</w:t>
            </w:r>
            <w:r w:rsidRPr="00FC40F4">
              <w:rPr>
                <w:sz w:val="28"/>
                <w:szCs w:val="28"/>
              </w:rPr>
              <w:t>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DC234C" w:rsidRDefault="00A0358A" w:rsidP="000E18CF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3"/>
        <w:gridCol w:w="6106"/>
      </w:tblGrid>
      <w:tr w:rsidR="007761F2" w:rsidTr="006F2563">
        <w:tc>
          <w:tcPr>
            <w:tcW w:w="5019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6F2563">
        <w:tc>
          <w:tcPr>
            <w:tcW w:w="5019" w:type="dxa"/>
          </w:tcPr>
          <w:p w:rsidR="007761F2" w:rsidRDefault="00C3112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24275" cy="2486025"/>
                  <wp:effectExtent l="19050" t="0" r="9525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tbl>
            <w:tblPr>
              <w:tblW w:w="490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3"/>
              <w:gridCol w:w="63"/>
              <w:gridCol w:w="5311"/>
              <w:gridCol w:w="64"/>
              <w:gridCol w:w="64"/>
              <w:gridCol w:w="39"/>
              <w:gridCol w:w="49"/>
              <w:gridCol w:w="39"/>
              <w:gridCol w:w="49"/>
              <w:gridCol w:w="39"/>
              <w:gridCol w:w="49"/>
              <w:gridCol w:w="50"/>
              <w:gridCol w:w="11"/>
            </w:tblGrid>
            <w:tr w:rsidR="00DA4D81" w:rsidRPr="00DA4D81" w:rsidTr="007F18CF">
              <w:trPr>
                <w:gridAfter w:val="1"/>
                <w:wAfter w:w="19" w:type="dxa"/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773FCB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486400" cy="3200400"/>
                        <wp:effectExtent l="19050" t="0" r="19050" b="0"/>
                        <wp:docPr id="21" name="Диаграмма 2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761F2" w:rsidRDefault="007761F2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p w:rsidR="006046BA" w:rsidRDefault="006046BA" w:rsidP="00F54C1B">
      <w:pPr>
        <w:jc w:val="both"/>
        <w:rPr>
          <w:szCs w:val="28"/>
        </w:rPr>
      </w:pPr>
    </w:p>
    <w:p w:rsidR="006046BA" w:rsidRPr="006046BA" w:rsidRDefault="006046BA" w:rsidP="006046BA">
      <w:pPr>
        <w:jc w:val="both"/>
      </w:pPr>
      <w:r w:rsidRPr="006046BA">
        <w:t>Глава Администрации</w:t>
      </w:r>
    </w:p>
    <w:p w:rsidR="006046BA" w:rsidRDefault="006046BA" w:rsidP="006046BA">
      <w:pPr>
        <w:jc w:val="both"/>
      </w:pPr>
      <w:r w:rsidRPr="006046BA">
        <w:t xml:space="preserve">Новоегорлыкского сельского поселения                     </w:t>
      </w:r>
      <w:r>
        <w:t xml:space="preserve">                    </w:t>
      </w:r>
      <w:r w:rsidRPr="006046BA">
        <w:t xml:space="preserve">         Е.В.Григоренко</w:t>
      </w:r>
    </w:p>
    <w:p w:rsidR="006046BA" w:rsidRDefault="006046BA" w:rsidP="006046BA">
      <w:pPr>
        <w:jc w:val="both"/>
      </w:pPr>
    </w:p>
    <w:p w:rsidR="006046BA" w:rsidRDefault="006046BA" w:rsidP="006046BA">
      <w:pPr>
        <w:jc w:val="both"/>
      </w:pPr>
      <w:r>
        <w:t>Татьяна Николаевна Пивоварова</w:t>
      </w:r>
    </w:p>
    <w:p w:rsidR="006046BA" w:rsidRPr="006E7811" w:rsidRDefault="006046BA" w:rsidP="006046BA">
      <w:pPr>
        <w:jc w:val="both"/>
        <w:rPr>
          <w:sz w:val="28"/>
          <w:szCs w:val="28"/>
        </w:rPr>
      </w:pPr>
      <w:r>
        <w:t>8(86372)42509</w:t>
      </w:r>
      <w:r w:rsidRPr="006E7811">
        <w:rPr>
          <w:sz w:val="28"/>
          <w:szCs w:val="28"/>
        </w:rPr>
        <w:t xml:space="preserve">                         </w:t>
      </w:r>
    </w:p>
    <w:p w:rsidR="006046BA" w:rsidRDefault="006046BA" w:rsidP="00F54C1B">
      <w:pPr>
        <w:jc w:val="both"/>
        <w:rPr>
          <w:sz w:val="28"/>
          <w:szCs w:val="28"/>
        </w:rPr>
      </w:pPr>
    </w:p>
    <w:sectPr w:rsidR="006046BA" w:rsidSect="006046BA">
      <w:headerReference w:type="default" r:id="rId24"/>
      <w:footerReference w:type="default" r:id="rId25"/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B2" w:rsidRDefault="00D76CB2">
      <w:r>
        <w:separator/>
      </w:r>
    </w:p>
  </w:endnote>
  <w:endnote w:type="continuationSeparator" w:id="1">
    <w:p w:rsidR="00D76CB2" w:rsidRDefault="00D7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1B2E94">
    <w:pPr>
      <w:pStyle w:val="a3"/>
      <w:jc w:val="right"/>
    </w:pPr>
    <w:fldSimple w:instr=" PAGE   \* MERGEFORMAT ">
      <w:r w:rsidR="006046BA">
        <w:rPr>
          <w:noProof/>
        </w:rPr>
        <w:t>1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B2" w:rsidRDefault="00D76CB2">
      <w:r>
        <w:separator/>
      </w:r>
    </w:p>
  </w:footnote>
  <w:footnote w:type="continuationSeparator" w:id="1">
    <w:p w:rsidR="00D76CB2" w:rsidRDefault="00D7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CB" w:rsidRDefault="00773FCB" w:rsidP="00773FCB">
    <w:pPr>
      <w:pStyle w:val="ab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111F"/>
    <w:rsid w:val="0003534B"/>
    <w:rsid w:val="00046F58"/>
    <w:rsid w:val="0005036B"/>
    <w:rsid w:val="000503D0"/>
    <w:rsid w:val="0007156A"/>
    <w:rsid w:val="00081233"/>
    <w:rsid w:val="00083EA5"/>
    <w:rsid w:val="000A0319"/>
    <w:rsid w:val="000B3B53"/>
    <w:rsid w:val="000B5A7C"/>
    <w:rsid w:val="000C2776"/>
    <w:rsid w:val="000C7106"/>
    <w:rsid w:val="000D1170"/>
    <w:rsid w:val="000D1B5F"/>
    <w:rsid w:val="000E18CF"/>
    <w:rsid w:val="000F3553"/>
    <w:rsid w:val="00162848"/>
    <w:rsid w:val="0016328C"/>
    <w:rsid w:val="00171AE7"/>
    <w:rsid w:val="00183E38"/>
    <w:rsid w:val="001959CA"/>
    <w:rsid w:val="001A6F92"/>
    <w:rsid w:val="001B2E94"/>
    <w:rsid w:val="001D2327"/>
    <w:rsid w:val="001D4F32"/>
    <w:rsid w:val="001F58C7"/>
    <w:rsid w:val="00212BA8"/>
    <w:rsid w:val="0021402C"/>
    <w:rsid w:val="0021500C"/>
    <w:rsid w:val="00217D47"/>
    <w:rsid w:val="00245635"/>
    <w:rsid w:val="0025187D"/>
    <w:rsid w:val="0025759A"/>
    <w:rsid w:val="00260201"/>
    <w:rsid w:val="002650D4"/>
    <w:rsid w:val="0027229D"/>
    <w:rsid w:val="0029101A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16C5"/>
    <w:rsid w:val="003833A0"/>
    <w:rsid w:val="00393B9C"/>
    <w:rsid w:val="003A2B10"/>
    <w:rsid w:val="003A4E3A"/>
    <w:rsid w:val="003A5A87"/>
    <w:rsid w:val="003B6D8B"/>
    <w:rsid w:val="003C313A"/>
    <w:rsid w:val="003D6280"/>
    <w:rsid w:val="003F1552"/>
    <w:rsid w:val="00405412"/>
    <w:rsid w:val="0044071A"/>
    <w:rsid w:val="0045375E"/>
    <w:rsid w:val="004539D1"/>
    <w:rsid w:val="00471CB4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027F8"/>
    <w:rsid w:val="00512C84"/>
    <w:rsid w:val="0051325C"/>
    <w:rsid w:val="00520367"/>
    <w:rsid w:val="005273AB"/>
    <w:rsid w:val="00532FBB"/>
    <w:rsid w:val="005415E6"/>
    <w:rsid w:val="005451BD"/>
    <w:rsid w:val="005518C4"/>
    <w:rsid w:val="005916F0"/>
    <w:rsid w:val="005B4627"/>
    <w:rsid w:val="005B6CB0"/>
    <w:rsid w:val="005C0B8D"/>
    <w:rsid w:val="005C6FB7"/>
    <w:rsid w:val="005E7071"/>
    <w:rsid w:val="005E78E3"/>
    <w:rsid w:val="005F1F90"/>
    <w:rsid w:val="005F2A96"/>
    <w:rsid w:val="005F6CC5"/>
    <w:rsid w:val="00603424"/>
    <w:rsid w:val="006046BA"/>
    <w:rsid w:val="00604AD1"/>
    <w:rsid w:val="006157FB"/>
    <w:rsid w:val="006209EC"/>
    <w:rsid w:val="00624960"/>
    <w:rsid w:val="00625C40"/>
    <w:rsid w:val="0063600C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C2F34"/>
    <w:rsid w:val="006C4E8C"/>
    <w:rsid w:val="006D3CFE"/>
    <w:rsid w:val="006F2563"/>
    <w:rsid w:val="006F7F1A"/>
    <w:rsid w:val="00726240"/>
    <w:rsid w:val="007324CE"/>
    <w:rsid w:val="00733C43"/>
    <w:rsid w:val="00736044"/>
    <w:rsid w:val="007464AB"/>
    <w:rsid w:val="00746B91"/>
    <w:rsid w:val="00752E96"/>
    <w:rsid w:val="00761AF2"/>
    <w:rsid w:val="00773FCB"/>
    <w:rsid w:val="007761F2"/>
    <w:rsid w:val="00785DB3"/>
    <w:rsid w:val="007C1F86"/>
    <w:rsid w:val="007D600E"/>
    <w:rsid w:val="007D672F"/>
    <w:rsid w:val="007F18CF"/>
    <w:rsid w:val="007F6E69"/>
    <w:rsid w:val="00801873"/>
    <w:rsid w:val="00825245"/>
    <w:rsid w:val="008331BC"/>
    <w:rsid w:val="00840193"/>
    <w:rsid w:val="00844055"/>
    <w:rsid w:val="0084592F"/>
    <w:rsid w:val="00847DA0"/>
    <w:rsid w:val="00851594"/>
    <w:rsid w:val="0086291C"/>
    <w:rsid w:val="008900F6"/>
    <w:rsid w:val="008B2B10"/>
    <w:rsid w:val="008C7BCC"/>
    <w:rsid w:val="008D2161"/>
    <w:rsid w:val="008D4109"/>
    <w:rsid w:val="008E544E"/>
    <w:rsid w:val="008F29F3"/>
    <w:rsid w:val="008F4483"/>
    <w:rsid w:val="008F6681"/>
    <w:rsid w:val="0090010D"/>
    <w:rsid w:val="00933F72"/>
    <w:rsid w:val="0093793A"/>
    <w:rsid w:val="00940064"/>
    <w:rsid w:val="00946788"/>
    <w:rsid w:val="00950D6D"/>
    <w:rsid w:val="009546E3"/>
    <w:rsid w:val="0095525A"/>
    <w:rsid w:val="00961F85"/>
    <w:rsid w:val="00963BF6"/>
    <w:rsid w:val="00970FBD"/>
    <w:rsid w:val="00974558"/>
    <w:rsid w:val="009B4086"/>
    <w:rsid w:val="009B5DDA"/>
    <w:rsid w:val="009D36DC"/>
    <w:rsid w:val="009D6CA0"/>
    <w:rsid w:val="009F1EAD"/>
    <w:rsid w:val="00A0358A"/>
    <w:rsid w:val="00A4573A"/>
    <w:rsid w:val="00A51E25"/>
    <w:rsid w:val="00A5748D"/>
    <w:rsid w:val="00A84751"/>
    <w:rsid w:val="00A93687"/>
    <w:rsid w:val="00A940F2"/>
    <w:rsid w:val="00AA218D"/>
    <w:rsid w:val="00AA36C2"/>
    <w:rsid w:val="00AA7279"/>
    <w:rsid w:val="00AC00DB"/>
    <w:rsid w:val="00AC3EED"/>
    <w:rsid w:val="00AC42C3"/>
    <w:rsid w:val="00AD18EC"/>
    <w:rsid w:val="00AE1739"/>
    <w:rsid w:val="00AE2816"/>
    <w:rsid w:val="00AE4232"/>
    <w:rsid w:val="00AE4E46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2036"/>
    <w:rsid w:val="00B55888"/>
    <w:rsid w:val="00B64866"/>
    <w:rsid w:val="00B65B4C"/>
    <w:rsid w:val="00B71699"/>
    <w:rsid w:val="00B82A71"/>
    <w:rsid w:val="00B84D09"/>
    <w:rsid w:val="00BA3D62"/>
    <w:rsid w:val="00BB4A5B"/>
    <w:rsid w:val="00BD7F57"/>
    <w:rsid w:val="00BE638E"/>
    <w:rsid w:val="00BF2222"/>
    <w:rsid w:val="00C20C01"/>
    <w:rsid w:val="00C2719C"/>
    <w:rsid w:val="00C31129"/>
    <w:rsid w:val="00C371BF"/>
    <w:rsid w:val="00C7162D"/>
    <w:rsid w:val="00C7272B"/>
    <w:rsid w:val="00C751F4"/>
    <w:rsid w:val="00CA1498"/>
    <w:rsid w:val="00CB713B"/>
    <w:rsid w:val="00CC31A1"/>
    <w:rsid w:val="00CE3825"/>
    <w:rsid w:val="00CE38EF"/>
    <w:rsid w:val="00CF02FF"/>
    <w:rsid w:val="00CF0611"/>
    <w:rsid w:val="00CF35A2"/>
    <w:rsid w:val="00D04D5B"/>
    <w:rsid w:val="00D13109"/>
    <w:rsid w:val="00D145DA"/>
    <w:rsid w:val="00D21692"/>
    <w:rsid w:val="00D2225A"/>
    <w:rsid w:val="00D24B5C"/>
    <w:rsid w:val="00D27FEA"/>
    <w:rsid w:val="00D365B9"/>
    <w:rsid w:val="00D4394D"/>
    <w:rsid w:val="00D44821"/>
    <w:rsid w:val="00D508E6"/>
    <w:rsid w:val="00D523A6"/>
    <w:rsid w:val="00D60247"/>
    <w:rsid w:val="00D634A3"/>
    <w:rsid w:val="00D650E0"/>
    <w:rsid w:val="00D6754B"/>
    <w:rsid w:val="00D71972"/>
    <w:rsid w:val="00D76CB2"/>
    <w:rsid w:val="00D812EF"/>
    <w:rsid w:val="00DA162F"/>
    <w:rsid w:val="00DA34A6"/>
    <w:rsid w:val="00DA4D81"/>
    <w:rsid w:val="00DB041D"/>
    <w:rsid w:val="00DB3894"/>
    <w:rsid w:val="00DC234C"/>
    <w:rsid w:val="00DC3304"/>
    <w:rsid w:val="00DC5C92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4072"/>
    <w:rsid w:val="00E50461"/>
    <w:rsid w:val="00E53B90"/>
    <w:rsid w:val="00E76363"/>
    <w:rsid w:val="00E8735F"/>
    <w:rsid w:val="00E96007"/>
    <w:rsid w:val="00E9788B"/>
    <w:rsid w:val="00EC7DF3"/>
    <w:rsid w:val="00EF0FB4"/>
    <w:rsid w:val="00F03278"/>
    <w:rsid w:val="00F05CB2"/>
    <w:rsid w:val="00F15DB0"/>
    <w:rsid w:val="00F175D0"/>
    <w:rsid w:val="00F30FD8"/>
    <w:rsid w:val="00F3236B"/>
    <w:rsid w:val="00F425DD"/>
    <w:rsid w:val="00F50085"/>
    <w:rsid w:val="00F54C1B"/>
    <w:rsid w:val="00F725C2"/>
    <w:rsid w:val="00F83236"/>
    <w:rsid w:val="00F83AEC"/>
    <w:rsid w:val="00F85325"/>
    <w:rsid w:val="00F925EB"/>
    <w:rsid w:val="00F9457F"/>
    <w:rsid w:val="00F955E6"/>
    <w:rsid w:val="00FA531C"/>
    <w:rsid w:val="00FA6308"/>
    <w:rsid w:val="00FB1FF1"/>
    <w:rsid w:val="00FB3220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192.168.200.211/DELOWEB/Pages/Classif/ClassifInfo.aspx?classif=RUBRIC_CL&amp;due=0.17MH4T.17MSUT.17MSXR.19I77X.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73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68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9256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68E-2"/>
                  <c:y val="-2.3775865226149405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76</c:v>
                </c:pt>
                <c:pt idx="1">
                  <c:v>68</c:v>
                </c:pt>
              </c:numCache>
            </c:numRef>
          </c:val>
        </c:ser>
        <c:gapDepth val="0"/>
        <c:shape val="box"/>
        <c:axId val="38417152"/>
        <c:axId val="38418688"/>
        <c:axId val="0"/>
      </c:bar3DChart>
      <c:catAx>
        <c:axId val="38417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418688"/>
        <c:crosses val="autoZero"/>
        <c:auto val="1"/>
        <c:lblAlgn val="ctr"/>
        <c:lblOffset val="100"/>
        <c:tickLblSkip val="1"/>
        <c:tickMarkSkip val="1"/>
      </c:catAx>
      <c:valAx>
        <c:axId val="384186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417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</c:numCache>
            </c:numRef>
          </c:val>
        </c:ser>
        <c:gapDepth val="0"/>
        <c:shape val="box"/>
        <c:axId val="86180224"/>
        <c:axId val="86181760"/>
        <c:axId val="0"/>
      </c:bar3DChart>
      <c:catAx>
        <c:axId val="861802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6181760"/>
        <c:crosses val="autoZero"/>
        <c:auto val="1"/>
        <c:lblAlgn val="ctr"/>
        <c:lblOffset val="100"/>
        <c:tickLblSkip val="1"/>
        <c:tickMarkSkip val="1"/>
      </c:catAx>
      <c:valAx>
        <c:axId val="861817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6180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</c:v>
                </c:pt>
                <c:pt idx="1">
                  <c:v>21</c:v>
                </c:pt>
              </c:numCache>
            </c:numRef>
          </c:val>
        </c:ser>
        <c:gapDepth val="0"/>
        <c:shape val="box"/>
        <c:axId val="91429504"/>
        <c:axId val="92041600"/>
        <c:axId val="0"/>
      </c:bar3DChart>
      <c:catAx>
        <c:axId val="91429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041600"/>
        <c:crosses val="autoZero"/>
        <c:auto val="1"/>
        <c:lblAlgn val="ctr"/>
        <c:lblOffset val="100"/>
        <c:tickLblSkip val="1"/>
        <c:tickMarkSkip val="1"/>
      </c:catAx>
      <c:valAx>
        <c:axId val="920416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429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19</c:v>
                </c:pt>
              </c:numCache>
            </c:numRef>
          </c:val>
        </c:ser>
        <c:gapDepth val="0"/>
        <c:shape val="box"/>
        <c:axId val="92266496"/>
        <c:axId val="92268032"/>
        <c:axId val="0"/>
      </c:bar3DChart>
      <c:catAx>
        <c:axId val="922664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268032"/>
        <c:crosses val="autoZero"/>
        <c:auto val="1"/>
        <c:lblAlgn val="ctr"/>
        <c:lblOffset val="100"/>
        <c:tickLblSkip val="1"/>
        <c:tickMarkSkip val="1"/>
      </c:catAx>
      <c:valAx>
        <c:axId val="922680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266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2015 г.</c:v>
                </c:pt>
                <c:pt idx="1">
                  <c:v>за 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28</c:v>
                </c:pt>
                <c:pt idx="1">
                  <c:v>46</c:v>
                </c:pt>
              </c:numCache>
            </c:numRef>
          </c:val>
        </c:ser>
        <c:gapDepth val="0"/>
        <c:shape val="box"/>
        <c:axId val="92182784"/>
        <c:axId val="92205056"/>
        <c:axId val="0"/>
      </c:bar3DChart>
      <c:catAx>
        <c:axId val="92182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205056"/>
        <c:crosses val="autoZero"/>
        <c:auto val="1"/>
        <c:lblAlgn val="ctr"/>
        <c:lblOffset val="100"/>
        <c:tickLblSkip val="1"/>
        <c:tickMarkSkip val="1"/>
      </c:catAx>
      <c:valAx>
        <c:axId val="9220505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182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2293693067778336E-2"/>
          <c:y val="2.8853520969453286E-2"/>
          <c:w val="0.47189651844989983"/>
          <c:h val="0.7230099960909145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Поддержино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2015 г.</c:v>
                </c:pt>
                <c:pt idx="3">
                  <c:v>шт.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меры приняты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2015 г.</c:v>
                </c:pt>
                <c:pt idx="3">
                  <c:v>шт.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разъяснено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г.</c:v>
                </c:pt>
                <c:pt idx="1">
                  <c:v>2015 г.</c:v>
                </c:pt>
                <c:pt idx="3">
                  <c:v>шт.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34</c:v>
                </c:pt>
              </c:numCache>
            </c:numRef>
          </c:val>
        </c:ser>
        <c:shape val="box"/>
        <c:axId val="92290432"/>
        <c:axId val="92292224"/>
        <c:axId val="40596352"/>
      </c:bar3DChart>
      <c:catAx>
        <c:axId val="92290432"/>
        <c:scaling>
          <c:orientation val="minMax"/>
        </c:scaling>
        <c:axPos val="b"/>
        <c:tickLblPos val="nextTo"/>
        <c:crossAx val="92292224"/>
        <c:crosses val="autoZero"/>
        <c:auto val="1"/>
        <c:lblAlgn val="ctr"/>
        <c:lblOffset val="100"/>
      </c:catAx>
      <c:valAx>
        <c:axId val="92292224"/>
        <c:scaling>
          <c:orientation val="minMax"/>
        </c:scaling>
        <c:axPos val="l"/>
        <c:majorGridlines/>
        <c:numFmt formatCode="General" sourceLinked="1"/>
        <c:tickLblPos val="nextTo"/>
        <c:crossAx val="92290432"/>
        <c:crosses val="autoZero"/>
        <c:crossBetween val="between"/>
      </c:valAx>
      <c:serAx>
        <c:axId val="40596352"/>
        <c:scaling>
          <c:orientation val="minMax"/>
        </c:scaling>
        <c:delete val="1"/>
        <c:axPos val="b"/>
        <c:tickLblPos val="nextTo"/>
        <c:crossAx val="92292224"/>
        <c:crosses val="autoZero"/>
      </c:ser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поддержано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</c:v>
                </c:pt>
                <c:pt idx="1">
                  <c:v>2015</c:v>
                </c:pt>
                <c:pt idx="2">
                  <c:v>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меры приняты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</c:v>
                </c:pt>
                <c:pt idx="1">
                  <c:v>2015</c:v>
                </c:pt>
                <c:pt idx="2">
                  <c:v>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2.6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разъяснено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</c:v>
                </c:pt>
                <c:pt idx="1">
                  <c:v>2015</c:v>
                </c:pt>
                <c:pt idx="2">
                  <c:v>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53</c:v>
                </c:pt>
              </c:numCache>
            </c:numRef>
          </c:val>
        </c:ser>
        <c:shape val="box"/>
        <c:axId val="92474752"/>
        <c:axId val="92476544"/>
        <c:axId val="40638656"/>
      </c:bar3DChart>
      <c:catAx>
        <c:axId val="92474752"/>
        <c:scaling>
          <c:orientation val="minMax"/>
        </c:scaling>
        <c:axPos val="b"/>
        <c:numFmt formatCode="General" sourceLinked="1"/>
        <c:tickLblPos val="nextTo"/>
        <c:crossAx val="92476544"/>
        <c:crosses val="autoZero"/>
        <c:auto val="1"/>
        <c:lblAlgn val="ctr"/>
        <c:lblOffset val="100"/>
      </c:catAx>
      <c:valAx>
        <c:axId val="92476544"/>
        <c:scaling>
          <c:orientation val="minMax"/>
        </c:scaling>
        <c:axPos val="l"/>
        <c:majorGridlines/>
        <c:numFmt formatCode="General" sourceLinked="1"/>
        <c:tickLblPos val="nextTo"/>
        <c:crossAx val="92474752"/>
        <c:crosses val="autoZero"/>
        <c:crossBetween val="between"/>
      </c:valAx>
      <c:serAx>
        <c:axId val="40638656"/>
        <c:scaling>
          <c:orientation val="minMax"/>
        </c:scaling>
        <c:axPos val="b"/>
        <c:tickLblPos val="nextTo"/>
        <c:crossAx val="92476544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88.2</c:v>
                </c:pt>
              </c:numCache>
            </c:numRef>
          </c:val>
        </c:ser>
        <c:gapDepth val="0"/>
        <c:shape val="box"/>
        <c:axId val="38738944"/>
        <c:axId val="38884096"/>
        <c:axId val="0"/>
      </c:bar3DChart>
      <c:catAx>
        <c:axId val="387389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884096"/>
        <c:crosses val="autoZero"/>
        <c:auto val="1"/>
        <c:lblAlgn val="ctr"/>
        <c:lblOffset val="100"/>
        <c:tickLblSkip val="1"/>
        <c:tickMarkSkip val="1"/>
      </c:catAx>
      <c:valAx>
        <c:axId val="388840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738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2016г.</c:v>
                </c:pt>
                <c:pt idx="1">
                  <c:v>за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1.9000000000000001</c:v>
                </c:pt>
                <c:pt idx="1">
                  <c:v>1.7</c:v>
                </c:pt>
              </c:numCache>
            </c:numRef>
          </c:val>
        </c:ser>
        <c:gapDepth val="0"/>
        <c:shape val="box"/>
        <c:axId val="39042048"/>
        <c:axId val="39062912"/>
        <c:axId val="0"/>
      </c:bar3DChart>
      <c:catAx>
        <c:axId val="390420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9062912"/>
        <c:crosses val="autoZero"/>
        <c:auto val="1"/>
        <c:lblAlgn val="ctr"/>
        <c:lblOffset val="100"/>
        <c:tickLblSkip val="1"/>
        <c:tickMarkSkip val="1"/>
      </c:catAx>
      <c:valAx>
        <c:axId val="390629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9042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2E-3"/>
                </c:manualLayout>
              </c:layout>
              <c:showVal val="1"/>
            </c:dLbl>
            <c:dLbl>
              <c:idx val="1"/>
              <c:layout>
                <c:manualLayout>
                  <c:x val="1.6903537212647493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573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22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8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54</c:v>
                </c:pt>
                <c:pt idx="1">
                  <c:v>43</c:v>
                </c:pt>
              </c:numCache>
            </c:numRef>
          </c:val>
        </c:ser>
        <c:gapDepth val="0"/>
        <c:shape val="box"/>
        <c:axId val="41437440"/>
        <c:axId val="41481728"/>
        <c:axId val="0"/>
      </c:bar3DChart>
      <c:catAx>
        <c:axId val="41437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1481728"/>
        <c:crosses val="autoZero"/>
        <c:auto val="1"/>
        <c:lblAlgn val="ctr"/>
        <c:lblOffset val="100"/>
        <c:tickLblSkip val="1"/>
        <c:tickMarkSkip val="1"/>
      </c:catAx>
      <c:valAx>
        <c:axId val="414817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1437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18"/>
          <c:w val="1"/>
          <c:h val="0.13073435750601273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76E-2"/>
                  <c:y val="-1.729346768716862E-3"/>
                </c:manualLayout>
              </c:layout>
              <c:showVal val="1"/>
            </c:dLbl>
            <c:dLbl>
              <c:idx val="1"/>
              <c:layout>
                <c:manualLayout>
                  <c:x val="1.277557023638320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29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356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71</c:v>
                </c:pt>
                <c:pt idx="1">
                  <c:v>63</c:v>
                </c:pt>
              </c:numCache>
            </c:numRef>
          </c:val>
        </c:ser>
        <c:gapDepth val="0"/>
        <c:shape val="box"/>
        <c:axId val="90745088"/>
        <c:axId val="91451776"/>
        <c:axId val="0"/>
      </c:bar3DChart>
      <c:catAx>
        <c:axId val="907450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451776"/>
        <c:crosses val="autoZero"/>
        <c:auto val="1"/>
        <c:lblAlgn val="ctr"/>
        <c:lblOffset val="100"/>
        <c:tickLblSkip val="1"/>
        <c:tickMarkSkip val="1"/>
      </c:catAx>
      <c:valAx>
        <c:axId val="914517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0745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02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24E-3"/>
                </c:manualLayout>
              </c:layout>
              <c:showVal val="1"/>
            </c:dLbl>
            <c:dLbl>
              <c:idx val="1"/>
              <c:layout>
                <c:manualLayout>
                  <c:x val="1.6903537212647507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606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53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307E-2"/>
                  <c:y val="8.5469098123774851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9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23</c:v>
                </c:pt>
                <c:pt idx="1">
                  <c:v>21</c:v>
                </c:pt>
              </c:numCache>
            </c:numRef>
          </c:val>
        </c:ser>
        <c:gapDepth val="0"/>
        <c:shape val="box"/>
        <c:axId val="91461504"/>
        <c:axId val="91463040"/>
        <c:axId val="0"/>
      </c:bar3DChart>
      <c:catAx>
        <c:axId val="91461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463040"/>
        <c:crosses val="autoZero"/>
        <c:auto val="1"/>
        <c:lblAlgn val="ctr"/>
        <c:lblOffset val="100"/>
        <c:tickLblSkip val="1"/>
        <c:tickMarkSkip val="1"/>
      </c:catAx>
      <c:valAx>
        <c:axId val="914630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4615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763"/>
          <c:w val="1"/>
          <c:h val="0.13073435750601278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83E-2"/>
                  <c:y val="-1.7293467687168624E-3"/>
                </c:manualLayout>
              </c:layout>
              <c:showVal val="1"/>
            </c:dLbl>
            <c:dLbl>
              <c:idx val="1"/>
              <c:layout>
                <c:manualLayout>
                  <c:x val="1.2775570236383217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749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307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4851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</c:v>
                </c:pt>
                <c:pt idx="1">
                  <c:v>31</c:v>
                </c:pt>
              </c:numCache>
            </c:numRef>
          </c:val>
        </c:ser>
        <c:gapDepth val="0"/>
        <c:shape val="box"/>
        <c:axId val="91970560"/>
        <c:axId val="91984640"/>
        <c:axId val="0"/>
      </c:bar3DChart>
      <c:catAx>
        <c:axId val="919705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984640"/>
        <c:crosses val="autoZero"/>
        <c:auto val="1"/>
        <c:lblAlgn val="ctr"/>
        <c:lblOffset val="100"/>
        <c:tickLblSkip val="1"/>
        <c:tickMarkSkip val="1"/>
      </c:catAx>
      <c:valAx>
        <c:axId val="919846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970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124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gapDepth val="0"/>
        <c:shape val="box"/>
        <c:axId val="91992832"/>
        <c:axId val="91994368"/>
        <c:axId val="0"/>
      </c:bar3DChart>
      <c:catAx>
        <c:axId val="919928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994368"/>
        <c:crosses val="autoZero"/>
        <c:auto val="1"/>
        <c:lblAlgn val="ctr"/>
        <c:lblOffset val="100"/>
        <c:tickLblSkip val="1"/>
        <c:tickMarkSkip val="1"/>
      </c:catAx>
      <c:valAx>
        <c:axId val="919943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992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 2016 г.</c:v>
                </c:pt>
                <c:pt idx="1">
                  <c:v>за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3.9</c:v>
                </c:pt>
                <c:pt idx="1">
                  <c:v>5.9</c:v>
                </c:pt>
              </c:numCache>
            </c:numRef>
          </c:val>
        </c:ser>
        <c:gapDepth val="0"/>
        <c:shape val="box"/>
        <c:axId val="92081152"/>
        <c:axId val="92082944"/>
        <c:axId val="0"/>
      </c:bar3DChart>
      <c:catAx>
        <c:axId val="92081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082944"/>
        <c:crosses val="autoZero"/>
        <c:auto val="1"/>
        <c:lblAlgn val="ctr"/>
        <c:lblOffset val="100"/>
        <c:tickLblSkip val="1"/>
        <c:tickMarkSkip val="1"/>
      </c:catAx>
      <c:valAx>
        <c:axId val="9208294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2081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8379-C43D-432E-856A-4F065025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2016-12-28T06:35:00Z</cp:lastPrinted>
  <dcterms:created xsi:type="dcterms:W3CDTF">2016-04-19T06:54:00Z</dcterms:created>
  <dcterms:modified xsi:type="dcterms:W3CDTF">2016-12-29T12:00:00Z</dcterms:modified>
</cp:coreProperties>
</file>