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B" w:rsidRDefault="006157FB" w:rsidP="000503D0">
      <w:pPr>
        <w:jc w:val="center"/>
        <w:rPr>
          <w:b/>
          <w:sz w:val="28"/>
          <w:szCs w:val="28"/>
        </w:rPr>
      </w:pPr>
    </w:p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FB1FF1">
        <w:rPr>
          <w:b/>
          <w:sz w:val="28"/>
          <w:szCs w:val="28"/>
        </w:rPr>
        <w:t xml:space="preserve">за </w:t>
      </w:r>
      <w:r w:rsidR="00AF1B63">
        <w:rPr>
          <w:b/>
          <w:sz w:val="28"/>
          <w:szCs w:val="28"/>
          <w:lang w:val="en-US"/>
        </w:rPr>
        <w:t>I</w:t>
      </w:r>
      <w:r w:rsidR="00AF1B63">
        <w:rPr>
          <w:b/>
          <w:sz w:val="28"/>
          <w:szCs w:val="28"/>
        </w:rPr>
        <w:t xml:space="preserve"> квартал</w:t>
      </w:r>
      <w:r w:rsidR="00761AF2">
        <w:rPr>
          <w:b/>
          <w:sz w:val="28"/>
          <w:szCs w:val="28"/>
        </w:rPr>
        <w:t xml:space="preserve"> </w:t>
      </w:r>
      <w:r w:rsidR="00990916">
        <w:rPr>
          <w:b/>
          <w:sz w:val="28"/>
          <w:szCs w:val="28"/>
        </w:rPr>
        <w:t>2017</w:t>
      </w:r>
      <w:r w:rsidR="00FB1FF1">
        <w:rPr>
          <w:b/>
          <w:sz w:val="28"/>
          <w:szCs w:val="28"/>
        </w:rPr>
        <w:t xml:space="preserve"> год</w:t>
      </w:r>
      <w:r w:rsidR="00AF1B63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F83236">
        <w:rPr>
          <w:b/>
          <w:sz w:val="28"/>
          <w:szCs w:val="28"/>
        </w:rPr>
        <w:t>Новоегорлыкского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FD67FF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1B63">
        <w:rPr>
          <w:sz w:val="28"/>
          <w:szCs w:val="28"/>
          <w:lang w:val="en-US"/>
        </w:rPr>
        <w:t>I</w:t>
      </w:r>
      <w:r w:rsidR="00AF1B63" w:rsidRPr="00AF1B63">
        <w:rPr>
          <w:sz w:val="28"/>
          <w:szCs w:val="28"/>
        </w:rPr>
        <w:t xml:space="preserve"> </w:t>
      </w:r>
      <w:r w:rsidR="00990916">
        <w:rPr>
          <w:sz w:val="28"/>
          <w:szCs w:val="28"/>
        </w:rPr>
        <w:t>квартале 2017</w:t>
      </w:r>
      <w:r w:rsidR="00761AF2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 xml:space="preserve"> года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Новоегорлыкского сельского поселения</w:t>
      </w:r>
      <w:r w:rsidR="000503D0" w:rsidRPr="000B5A7C">
        <w:rPr>
          <w:sz w:val="28"/>
          <w:szCs w:val="28"/>
        </w:rPr>
        <w:t xml:space="preserve"> </w:t>
      </w:r>
      <w:r w:rsidR="000503D0" w:rsidRPr="00CA1498">
        <w:rPr>
          <w:b/>
          <w:sz w:val="28"/>
          <w:szCs w:val="28"/>
        </w:rPr>
        <w:t xml:space="preserve">поступило </w:t>
      </w:r>
      <w:r w:rsidR="00990916">
        <w:rPr>
          <w:b/>
          <w:sz w:val="28"/>
          <w:szCs w:val="28"/>
        </w:rPr>
        <w:t>19</w:t>
      </w:r>
      <w:r w:rsidR="000503D0" w:rsidRPr="00CA1498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990916">
        <w:rPr>
          <w:sz w:val="28"/>
          <w:szCs w:val="28"/>
        </w:rPr>
        <w:t>в 2017</w:t>
      </w:r>
      <w:r w:rsidR="00FD67FF">
        <w:rPr>
          <w:sz w:val="28"/>
          <w:szCs w:val="28"/>
        </w:rPr>
        <w:t xml:space="preserve"> году</w:t>
      </w:r>
      <w:r w:rsidR="005451BD">
        <w:rPr>
          <w:sz w:val="28"/>
          <w:szCs w:val="28"/>
        </w:rPr>
        <w:t xml:space="preserve"> обращений </w:t>
      </w:r>
      <w:r w:rsidR="00AF1B63">
        <w:rPr>
          <w:sz w:val="28"/>
          <w:szCs w:val="28"/>
        </w:rPr>
        <w:t xml:space="preserve">за аналогичный период </w:t>
      </w:r>
      <w:r w:rsidR="005451BD">
        <w:rPr>
          <w:sz w:val="28"/>
          <w:szCs w:val="28"/>
        </w:rPr>
        <w:t>на</w:t>
      </w:r>
      <w:r w:rsidR="00FD67FF">
        <w:rPr>
          <w:sz w:val="28"/>
          <w:szCs w:val="28"/>
        </w:rPr>
        <w:t xml:space="preserve"> </w:t>
      </w:r>
      <w:r w:rsidR="00990916" w:rsidRPr="00990916">
        <w:rPr>
          <w:sz w:val="28"/>
          <w:szCs w:val="28"/>
        </w:rPr>
        <w:t>36,8</w:t>
      </w:r>
      <w:r w:rsidR="00AF1B63" w:rsidRPr="00990916">
        <w:rPr>
          <w:sz w:val="28"/>
          <w:szCs w:val="28"/>
        </w:rPr>
        <w:t xml:space="preserve"> </w:t>
      </w:r>
      <w:r w:rsidR="00AF1B63" w:rsidRPr="00AF1B63">
        <w:rPr>
          <w:sz w:val="28"/>
          <w:szCs w:val="28"/>
        </w:rPr>
        <w:t>%</w:t>
      </w:r>
      <w:r w:rsidR="00990916">
        <w:rPr>
          <w:sz w:val="28"/>
          <w:szCs w:val="28"/>
        </w:rPr>
        <w:t xml:space="preserve"> больше (19</w:t>
      </w:r>
      <w:r>
        <w:rPr>
          <w:sz w:val="28"/>
          <w:szCs w:val="28"/>
        </w:rPr>
        <w:t xml:space="preserve">), чем </w:t>
      </w:r>
      <w:r w:rsidR="00990916">
        <w:rPr>
          <w:sz w:val="28"/>
          <w:szCs w:val="28"/>
        </w:rPr>
        <w:t>в 2016 году (12</w:t>
      </w:r>
      <w:r>
        <w:rPr>
          <w:sz w:val="28"/>
          <w:szCs w:val="28"/>
        </w:rPr>
        <w:t xml:space="preserve">).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FD67FF">
        <w:rPr>
          <w:sz w:val="28"/>
          <w:szCs w:val="28"/>
        </w:rPr>
        <w:t>поселения</w:t>
      </w:r>
      <w:r w:rsidRPr="00657DE1">
        <w:rPr>
          <w:sz w:val="28"/>
          <w:szCs w:val="28"/>
        </w:rPr>
        <w:t xml:space="preserve"> (</w:t>
      </w:r>
      <w:r w:rsidR="00FD67FF">
        <w:rPr>
          <w:sz w:val="28"/>
          <w:szCs w:val="28"/>
        </w:rPr>
        <w:t>4100</w:t>
      </w:r>
      <w:r w:rsidR="00761AF2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 xml:space="preserve">жителей на </w:t>
      </w:r>
      <w:r w:rsidR="00990916">
        <w:rPr>
          <w:sz w:val="28"/>
          <w:szCs w:val="28"/>
        </w:rPr>
        <w:t>1 января 2017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 xml:space="preserve">казатель активности населения за </w:t>
      </w:r>
      <w:r w:rsidR="00990916">
        <w:rPr>
          <w:sz w:val="28"/>
          <w:szCs w:val="28"/>
        </w:rPr>
        <w:t>2017</w:t>
      </w:r>
      <w:r w:rsidR="00FD67FF">
        <w:rPr>
          <w:sz w:val="28"/>
          <w:szCs w:val="28"/>
        </w:rPr>
        <w:t> год</w:t>
      </w:r>
      <w:r w:rsidR="00761AF2">
        <w:rPr>
          <w:sz w:val="28"/>
          <w:szCs w:val="28"/>
        </w:rPr>
        <w:t xml:space="preserve"> составил </w:t>
      </w:r>
      <w:r w:rsidR="00990916" w:rsidRPr="00990916">
        <w:rPr>
          <w:sz w:val="28"/>
          <w:szCs w:val="28"/>
        </w:rPr>
        <w:t>0,46</w:t>
      </w:r>
      <w:r w:rsidR="00761AF2" w:rsidRPr="00990916">
        <w:rPr>
          <w:sz w:val="28"/>
          <w:szCs w:val="28"/>
        </w:rPr>
        <w:t>%,</w:t>
      </w:r>
      <w:r w:rsidR="00990916" w:rsidRPr="00990916">
        <w:rPr>
          <w:sz w:val="28"/>
          <w:szCs w:val="28"/>
        </w:rPr>
        <w:t xml:space="preserve">  за 2016</w:t>
      </w:r>
      <w:r w:rsidR="00761AF2" w:rsidRPr="00990916">
        <w:rPr>
          <w:sz w:val="28"/>
          <w:szCs w:val="28"/>
        </w:rPr>
        <w:t xml:space="preserve"> – </w:t>
      </w:r>
      <w:r w:rsidR="00990916" w:rsidRPr="00990916">
        <w:rPr>
          <w:sz w:val="28"/>
          <w:szCs w:val="28"/>
        </w:rPr>
        <w:t>0,30</w:t>
      </w:r>
      <w:r w:rsidR="00761AF2" w:rsidRPr="00990916">
        <w:rPr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990916">
        <w:rPr>
          <w:sz w:val="28"/>
          <w:szCs w:val="28"/>
        </w:rPr>
        <w:t>4100 жителей на 01.01.2016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>за</w:t>
      </w:r>
      <w:r w:rsidR="00D44821">
        <w:rPr>
          <w:sz w:val="28"/>
          <w:szCs w:val="28"/>
        </w:rPr>
        <w:t xml:space="preserve"> </w:t>
      </w:r>
      <w:r w:rsidR="00D44821">
        <w:rPr>
          <w:sz w:val="28"/>
          <w:szCs w:val="28"/>
          <w:lang w:val="en-US"/>
        </w:rPr>
        <w:t>I</w:t>
      </w:r>
      <w:r w:rsidR="00D44821">
        <w:rPr>
          <w:sz w:val="28"/>
          <w:szCs w:val="28"/>
        </w:rPr>
        <w:t xml:space="preserve"> квартал </w:t>
      </w:r>
      <w:r w:rsidR="00B71699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 xml:space="preserve">за </w:t>
      </w:r>
      <w:r w:rsidR="00D44821">
        <w:rPr>
          <w:sz w:val="28"/>
          <w:szCs w:val="28"/>
          <w:lang w:val="en-US"/>
        </w:rPr>
        <w:t>I</w:t>
      </w:r>
      <w:r w:rsidR="00D44821">
        <w:rPr>
          <w:sz w:val="28"/>
          <w:szCs w:val="28"/>
        </w:rPr>
        <w:t xml:space="preserve"> квартал </w:t>
      </w:r>
      <w:r w:rsidR="00FA7B84">
        <w:rPr>
          <w:sz w:val="28"/>
          <w:szCs w:val="28"/>
        </w:rPr>
        <w:t>2017</w:t>
      </w:r>
      <w:r w:rsidR="00AE74BE">
        <w:rPr>
          <w:sz w:val="28"/>
          <w:szCs w:val="28"/>
        </w:rPr>
        <w:t> 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за отчетный период </w:t>
      </w:r>
      <w:r w:rsidR="00AF1B63">
        <w:rPr>
          <w:sz w:val="28"/>
          <w:szCs w:val="28"/>
        </w:rPr>
        <w:t>за 2016</w:t>
      </w:r>
      <w:r w:rsidR="009F1EAD">
        <w:rPr>
          <w:sz w:val="28"/>
          <w:szCs w:val="28"/>
        </w:rPr>
        <w:t xml:space="preserve"> </w:t>
      </w:r>
      <w:r w:rsidR="00FA7B84">
        <w:rPr>
          <w:sz w:val="28"/>
          <w:szCs w:val="28"/>
        </w:rPr>
        <w:t>и 2017</w:t>
      </w:r>
      <w:r w:rsidR="00D44821">
        <w:rPr>
          <w:sz w:val="28"/>
          <w:szCs w:val="28"/>
        </w:rPr>
        <w:t xml:space="preserve"> 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61AF2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r>
              <w:rPr>
                <w:b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lastRenderedPageBreak/>
              <w:t xml:space="preserve">Количество обращений, поступивших в форме электронного документа, в </w:t>
            </w:r>
            <w:r w:rsidRPr="00F925EB">
              <w:rPr>
                <w:sz w:val="24"/>
                <w:szCs w:val="24"/>
              </w:rPr>
              <w:lastRenderedPageBreak/>
              <w:t>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AE1739" w:rsidRDefault="009F1EAD" w:rsidP="008D2161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D44821">
              <w:rPr>
                <w:b/>
                <w:sz w:val="24"/>
                <w:szCs w:val="24"/>
              </w:rPr>
              <w:t xml:space="preserve"> (1 квартал)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AE1739" w:rsidRDefault="009F1EAD" w:rsidP="008D2161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FA7B8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D44821">
              <w:rPr>
                <w:b/>
                <w:sz w:val="24"/>
                <w:szCs w:val="24"/>
              </w:rPr>
              <w:t>(1 квартал)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AE1739" w:rsidRDefault="00AF1B63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761AF2" w:rsidRPr="00D44821" w:rsidRDefault="00D4482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33,3</w:t>
            </w:r>
            <w:r w:rsidR="00761AF2" w:rsidRPr="00D44821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FA7B8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761AF2" w:rsidRPr="00D44821" w:rsidRDefault="00FA7B8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  <w:r w:rsidR="00761AF2" w:rsidRPr="00D44821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761AF2" w:rsidRPr="00666F8D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761AF2" w:rsidRPr="002A4098" w:rsidRDefault="007324CE" w:rsidP="008D216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761AF2" w:rsidRPr="00D44821" w:rsidRDefault="007324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61AF2" w:rsidRPr="00AE1739" w:rsidRDefault="00FA7B84" w:rsidP="00AF2D3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761AF2" w:rsidRPr="00D44821" w:rsidRDefault="007324CE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AF2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AE1739" w:rsidRDefault="00AF1B63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61AF2" w:rsidRPr="00D44821" w:rsidRDefault="00D4482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66,7</w:t>
            </w:r>
            <w:r w:rsidR="00761AF2" w:rsidRPr="00D44821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2A4098" w:rsidRDefault="00FA7B8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761AF2" w:rsidRPr="00D44821" w:rsidRDefault="00FA7B8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  <w:r w:rsidR="002A4098" w:rsidRPr="00D44821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AE1739" w:rsidRDefault="00D4482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761AF2" w:rsidRPr="00AE1739" w:rsidRDefault="00D4482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B8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  <w:r w:rsidR="002A4098" w:rsidRPr="00D44821"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9F1EAD">
        <w:rPr>
          <w:sz w:val="28"/>
          <w:szCs w:val="28"/>
        </w:rPr>
        <w:t>в</w:t>
      </w:r>
      <w:r w:rsidR="00FA7B84">
        <w:rPr>
          <w:sz w:val="28"/>
          <w:szCs w:val="28"/>
        </w:rPr>
        <w:t xml:space="preserve"> отчетном периоде 2017</w:t>
      </w:r>
      <w:r w:rsidR="00AE2816">
        <w:rPr>
          <w:sz w:val="28"/>
          <w:szCs w:val="28"/>
        </w:rPr>
        <w:t xml:space="preserve"> го</w:t>
      </w:r>
      <w:r w:rsidR="00D44821">
        <w:rPr>
          <w:sz w:val="28"/>
          <w:szCs w:val="28"/>
        </w:rPr>
        <w:t>да</w:t>
      </w:r>
      <w:r w:rsidR="00AE2816"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>в</w:t>
      </w:r>
      <w:r w:rsidR="00AE2816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</w:t>
      </w:r>
      <w:r w:rsidR="00FA7B84">
        <w:rPr>
          <w:sz w:val="28"/>
          <w:szCs w:val="28"/>
        </w:rPr>
        <w:t>016</w:t>
      </w:r>
      <w:r w:rsidR="00D44821">
        <w:rPr>
          <w:sz w:val="28"/>
          <w:szCs w:val="28"/>
        </w:rPr>
        <w:t xml:space="preserve"> года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FA7B84">
        <w:rPr>
          <w:sz w:val="28"/>
          <w:szCs w:val="28"/>
        </w:rPr>
        <w:t>2017</w:t>
      </w:r>
      <w:r w:rsidR="009F1EAD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FA7B84">
        <w:rPr>
          <w:sz w:val="28"/>
          <w:szCs w:val="28"/>
        </w:rPr>
        <w:t>за  2016</w:t>
      </w:r>
      <w:r w:rsidR="009F1EAD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2016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FA7B84"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(1 квартал)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FA7B84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(1 квартал)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5B6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E2816" w:rsidRPr="002A4098" w:rsidRDefault="00D4482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FA7B84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:rsidR="00AE2816" w:rsidRPr="002A4098" w:rsidRDefault="00FA7B84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:rsidR="00AE2816" w:rsidRPr="002A4098" w:rsidRDefault="00D4482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FA7B84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  <w:vAlign w:val="center"/>
          </w:tcPr>
          <w:p w:rsidR="00AE2816" w:rsidRPr="002A4098" w:rsidRDefault="00FA7B84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AE2816" w:rsidRPr="002A4098" w:rsidRDefault="00B82A7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FA7B84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AE2816" w:rsidRPr="002A4098" w:rsidRDefault="00FA7B84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Всего вопросов</w:t>
            </w:r>
          </w:p>
        </w:tc>
        <w:tc>
          <w:tcPr>
            <w:tcW w:w="1587" w:type="dxa"/>
            <w:vAlign w:val="center"/>
          </w:tcPr>
          <w:p w:rsidR="00AE2816" w:rsidRPr="006452E5" w:rsidRDefault="0005036B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A4098" w:rsidRDefault="0005036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B84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D365B9" w:rsidTr="006F2563">
        <w:tc>
          <w:tcPr>
            <w:tcW w:w="5019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6F2563">
        <w:tc>
          <w:tcPr>
            <w:tcW w:w="5019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B82A71">
        <w:rPr>
          <w:sz w:val="28"/>
          <w:szCs w:val="28"/>
        </w:rPr>
        <w:t xml:space="preserve">отчетном периоде </w:t>
      </w:r>
      <w:r w:rsidRPr="00961F85">
        <w:rPr>
          <w:sz w:val="28"/>
          <w:szCs w:val="28"/>
        </w:rPr>
        <w:t>201</w:t>
      </w:r>
      <w:r w:rsidR="00FA7B84">
        <w:rPr>
          <w:sz w:val="28"/>
          <w:szCs w:val="28"/>
        </w:rPr>
        <w:t>7</w:t>
      </w:r>
      <w:r w:rsidR="00B82A71">
        <w:rPr>
          <w:sz w:val="28"/>
          <w:szCs w:val="28"/>
        </w:rPr>
        <w:t xml:space="preserve"> года</w:t>
      </w:r>
      <w:r w:rsidRPr="00961F85">
        <w:rPr>
          <w:sz w:val="28"/>
          <w:szCs w:val="28"/>
        </w:rPr>
        <w:t xml:space="preserve"> </w:t>
      </w:r>
      <w:r w:rsidR="00FA7B84">
        <w:rPr>
          <w:b/>
          <w:sz w:val="28"/>
          <w:szCs w:val="28"/>
        </w:rPr>
        <w:t>поступили</w:t>
      </w:r>
      <w:r w:rsidRPr="00961F85">
        <w:rPr>
          <w:b/>
          <w:sz w:val="28"/>
          <w:szCs w:val="28"/>
        </w:rPr>
        <w:t xml:space="preserve"> </w:t>
      </w:r>
      <w:r w:rsidR="00FA7B84">
        <w:rPr>
          <w:b/>
          <w:sz w:val="28"/>
          <w:szCs w:val="28"/>
        </w:rPr>
        <w:t>7</w:t>
      </w:r>
      <w:r w:rsidRPr="00961F85">
        <w:rPr>
          <w:b/>
          <w:sz w:val="28"/>
          <w:szCs w:val="28"/>
        </w:rPr>
        <w:t xml:space="preserve"> </w:t>
      </w:r>
      <w:r w:rsidRPr="002A4098">
        <w:rPr>
          <w:b/>
          <w:sz w:val="28"/>
          <w:szCs w:val="28"/>
        </w:rPr>
        <w:t>(</w:t>
      </w:r>
      <w:r w:rsidR="00FA7B84">
        <w:rPr>
          <w:b/>
          <w:color w:val="000000" w:themeColor="text1"/>
          <w:sz w:val="28"/>
          <w:szCs w:val="28"/>
        </w:rPr>
        <w:t>36,8</w:t>
      </w:r>
      <w:r w:rsidRPr="005F6CC5">
        <w:rPr>
          <w:b/>
          <w:color w:val="000000" w:themeColor="text1"/>
          <w:sz w:val="28"/>
          <w:szCs w:val="28"/>
        </w:rPr>
        <w:t xml:space="preserve">%) </w:t>
      </w:r>
      <w:r w:rsidRPr="00961F85">
        <w:rPr>
          <w:b/>
          <w:sz w:val="28"/>
          <w:szCs w:val="28"/>
        </w:rPr>
        <w:t>коллективных обращени</w:t>
      </w:r>
      <w:r w:rsidR="00FA7B84">
        <w:rPr>
          <w:b/>
          <w:sz w:val="28"/>
          <w:szCs w:val="28"/>
        </w:rPr>
        <w:t>й</w:t>
      </w:r>
      <w:r w:rsidR="00DC234C" w:rsidRPr="00961F85">
        <w:rPr>
          <w:sz w:val="28"/>
          <w:szCs w:val="28"/>
        </w:rPr>
        <w:t>.</w:t>
      </w:r>
      <w:r w:rsidR="000B5A7C" w:rsidRPr="00961F85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>В 2016 году коллективные обращения не поступали.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  <w:r w:rsidR="00FA7B84">
              <w:rPr>
                <w:sz w:val="28"/>
                <w:szCs w:val="28"/>
              </w:rPr>
              <w:t xml:space="preserve"> в 1 квартале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FA7B84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2017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B82A71">
              <w:rPr>
                <w:sz w:val="28"/>
                <w:szCs w:val="28"/>
              </w:rPr>
              <w:t>6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FA7B84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E2816" w:rsidRPr="00603424" w:rsidRDefault="00AE2816" w:rsidP="00FA7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FA7B84">
              <w:rPr>
                <w:sz w:val="28"/>
                <w:szCs w:val="28"/>
              </w:rPr>
              <w:t>36,8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B82A71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5F6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82A71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183E38" w:rsidP="00183E38">
      <w:pPr>
        <w:ind w:firstLine="708"/>
        <w:jc w:val="both"/>
        <w:rPr>
          <w:color w:val="FF0000"/>
          <w:sz w:val="28"/>
          <w:szCs w:val="28"/>
        </w:rPr>
      </w:pPr>
      <w:r w:rsidRPr="00154EB3">
        <w:rPr>
          <w:sz w:val="28"/>
          <w:szCs w:val="28"/>
        </w:rPr>
        <w:t xml:space="preserve">Наибольшее количество обращений поступило непосредственно в Администрацию </w:t>
      </w:r>
      <w:r w:rsidR="009F1EAD">
        <w:rPr>
          <w:sz w:val="28"/>
          <w:szCs w:val="28"/>
        </w:rPr>
        <w:t>Новоегорлыкского сельского поселения</w:t>
      </w:r>
      <w:r w:rsidRPr="00154EB3">
        <w:rPr>
          <w:color w:val="1F497D"/>
          <w:sz w:val="28"/>
          <w:szCs w:val="28"/>
        </w:rPr>
        <w:t xml:space="preserve">, </w:t>
      </w:r>
      <w:r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AE2816">
        <w:rPr>
          <w:sz w:val="28"/>
          <w:szCs w:val="28"/>
        </w:rPr>
        <w:t xml:space="preserve"> </w:t>
      </w:r>
      <w:r w:rsidR="00EB3CAF">
        <w:rPr>
          <w:sz w:val="28"/>
          <w:szCs w:val="28"/>
        </w:rPr>
        <w:t xml:space="preserve">Администрации </w:t>
      </w:r>
      <w:r w:rsidR="00B505C6">
        <w:rPr>
          <w:sz w:val="28"/>
          <w:szCs w:val="28"/>
        </w:rPr>
        <w:t>Новоегорлыкского сельского поселения</w:t>
      </w:r>
      <w:r w:rsidR="00B82A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B3CAF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обращений</w:t>
      </w:r>
      <w:r w:rsidR="00B82A71">
        <w:rPr>
          <w:sz w:val="28"/>
          <w:szCs w:val="28"/>
        </w:rPr>
        <w:t xml:space="preserve"> (8</w:t>
      </w:r>
      <w:r w:rsidR="00EB3CAF">
        <w:rPr>
          <w:sz w:val="28"/>
          <w:szCs w:val="28"/>
        </w:rPr>
        <w:t>4,2</w:t>
      </w:r>
      <w:r w:rsidR="00B82A71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  <w:r w:rsidRPr="0049399B">
        <w:rPr>
          <w:sz w:val="28"/>
          <w:szCs w:val="28"/>
        </w:rPr>
        <w:t>Часть обращений</w:t>
      </w:r>
      <w:r w:rsidRPr="00FB7DE3">
        <w:rPr>
          <w:color w:val="FF0000"/>
          <w:sz w:val="28"/>
          <w:szCs w:val="28"/>
        </w:rPr>
        <w:t xml:space="preserve"> </w:t>
      </w:r>
      <w:r w:rsidRPr="0049399B">
        <w:rPr>
          <w:sz w:val="28"/>
          <w:szCs w:val="28"/>
        </w:rPr>
        <w:t xml:space="preserve">жители </w:t>
      </w:r>
      <w:r w:rsidR="00B505C6">
        <w:rPr>
          <w:sz w:val="28"/>
          <w:szCs w:val="28"/>
        </w:rPr>
        <w:t>поселения</w:t>
      </w:r>
      <w:r w:rsidRPr="0049399B">
        <w:rPr>
          <w:sz w:val="28"/>
          <w:szCs w:val="28"/>
        </w:rPr>
        <w:t xml:space="preserve"> адресуют в другие инстанции, в том числе в </w:t>
      </w:r>
      <w:r w:rsidRPr="00FE0522">
        <w:rPr>
          <w:b/>
          <w:sz w:val="28"/>
          <w:szCs w:val="28"/>
        </w:rPr>
        <w:t>вышестоящие органы власти</w:t>
      </w:r>
      <w:r w:rsidRPr="0049399B">
        <w:rPr>
          <w:sz w:val="28"/>
          <w:szCs w:val="28"/>
        </w:rPr>
        <w:t>.</w:t>
      </w:r>
      <w:r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417"/>
        <w:gridCol w:w="1843"/>
      </w:tblGrid>
      <w:tr w:rsidR="0025759A" w:rsidRPr="0051674F" w:rsidTr="006F256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lastRenderedPageBreak/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6B" w:rsidRDefault="00EB3CA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25759A" w:rsidRPr="0051674F">
              <w:rPr>
                <w:sz w:val="28"/>
                <w:szCs w:val="28"/>
              </w:rPr>
              <w:t>год</w:t>
            </w:r>
          </w:p>
          <w:p w:rsidR="0025759A" w:rsidRPr="0051674F" w:rsidRDefault="00B82A71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квартал)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6F2563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417" w:type="dxa"/>
          </w:tcPr>
          <w:p w:rsidR="0025759A" w:rsidRPr="00E11113" w:rsidRDefault="00EB3CA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E11113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B505C6" w:rsidRDefault="00EB3CAF" w:rsidP="006F256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5759A" w:rsidRPr="002A4098" w:rsidRDefault="00EB3CA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5,3%</w:t>
            </w:r>
          </w:p>
          <w:p w:rsidR="00643F57" w:rsidRPr="002A4098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2A4098" w:rsidRDefault="00EB3CA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5,3%</w:t>
            </w:r>
          </w:p>
        </w:tc>
      </w:tr>
      <w:tr w:rsidR="0025759A" w:rsidRPr="0051674F" w:rsidTr="006F2563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417" w:type="dxa"/>
          </w:tcPr>
          <w:p w:rsidR="0025759A" w:rsidRPr="00E11113" w:rsidRDefault="00EB3CA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25759A" w:rsidRPr="002A4098" w:rsidRDefault="00EB3CA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5759A" w:rsidRPr="0051674F" w:rsidTr="006F2563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B505C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417" w:type="dxa"/>
          </w:tcPr>
          <w:p w:rsidR="0025759A" w:rsidRPr="0051674F" w:rsidRDefault="00EB3CA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5759A" w:rsidRPr="002A4098" w:rsidRDefault="00EB3CA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2A71">
        <w:rPr>
          <w:sz w:val="28"/>
          <w:szCs w:val="28"/>
          <w:lang w:val="en-US"/>
        </w:rPr>
        <w:t>I</w:t>
      </w:r>
      <w:r w:rsidR="00EB3CAF">
        <w:rPr>
          <w:sz w:val="28"/>
          <w:szCs w:val="28"/>
        </w:rPr>
        <w:t xml:space="preserve"> квартале 2017</w:t>
      </w:r>
      <w:r w:rsidR="00B82A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главой </w:t>
      </w:r>
      <w:r w:rsidR="00E11113">
        <w:rPr>
          <w:sz w:val="28"/>
          <w:szCs w:val="28"/>
        </w:rPr>
        <w:t>Новоегорлыкского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</w:t>
      </w:r>
      <w:r w:rsidR="00EB3CAF">
        <w:rPr>
          <w:b/>
          <w:sz w:val="28"/>
          <w:szCs w:val="28"/>
        </w:rPr>
        <w:t>ено 6</w:t>
      </w:r>
      <w:r w:rsidR="003833A0" w:rsidRPr="003833A0">
        <w:rPr>
          <w:b/>
          <w:sz w:val="28"/>
          <w:szCs w:val="28"/>
        </w:rPr>
        <w:t xml:space="preserve"> личных прием</w:t>
      </w:r>
      <w:r w:rsidR="00EB3CAF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3833A0" w:rsidRPr="005273A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</w:t>
      </w:r>
      <w:r w:rsidR="00EB3CAF">
        <w:rPr>
          <w:b/>
          <w:sz w:val="28"/>
          <w:szCs w:val="28"/>
        </w:rPr>
        <w:t>16</w:t>
      </w:r>
      <w:r w:rsidR="00E96007">
        <w:rPr>
          <w:b/>
          <w:sz w:val="28"/>
          <w:szCs w:val="28"/>
        </w:rPr>
        <w:t> заявителей</w:t>
      </w:r>
      <w:r w:rsidR="003833A0" w:rsidRPr="005273AB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D812EF" w:rsidRDefault="00D812EF" w:rsidP="00D812EF">
      <w:pPr>
        <w:ind w:firstLine="709"/>
        <w:jc w:val="both"/>
        <w:rPr>
          <w:sz w:val="28"/>
          <w:szCs w:val="28"/>
        </w:rPr>
      </w:pP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E11113">
        <w:rPr>
          <w:sz w:val="28"/>
          <w:szCs w:val="28"/>
        </w:rPr>
        <w:t>Новоегорлыкского сельского поселения</w:t>
      </w:r>
      <w:r w:rsidR="002C65B4">
        <w:rPr>
          <w:sz w:val="28"/>
          <w:szCs w:val="28"/>
        </w:rPr>
        <w:t xml:space="preserve">  </w:t>
      </w:r>
      <w:r w:rsidR="00E11113">
        <w:rPr>
          <w:sz w:val="28"/>
          <w:szCs w:val="28"/>
        </w:rPr>
        <w:t xml:space="preserve">в </w:t>
      </w:r>
      <w:r w:rsidR="00B82A71">
        <w:rPr>
          <w:sz w:val="28"/>
          <w:szCs w:val="28"/>
        </w:rPr>
        <w:t xml:space="preserve">отчетном периоде </w:t>
      </w:r>
      <w:r w:rsidRPr="00830301">
        <w:rPr>
          <w:sz w:val="28"/>
          <w:szCs w:val="28"/>
        </w:rPr>
        <w:t>201</w:t>
      </w:r>
      <w:r w:rsidR="00EB3CAF">
        <w:rPr>
          <w:sz w:val="28"/>
          <w:szCs w:val="28"/>
        </w:rPr>
        <w:t>7 года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D13109" w:rsidRPr="003C313A" w:rsidTr="00801873">
        <w:trPr>
          <w:trHeight w:val="356"/>
        </w:trPr>
        <w:tc>
          <w:tcPr>
            <w:tcW w:w="708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751E75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E4232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3C313A" w:rsidRDefault="00AE4232" w:rsidP="00350E60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AE4232" w:rsidRPr="002A4098" w:rsidRDefault="003A2B10" w:rsidP="005F6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E4232" w:rsidRPr="002A4098" w:rsidRDefault="003A2B10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58,3</w:t>
            </w:r>
            <w:r w:rsidR="00AE4232" w:rsidRPr="002A4098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3C313A" w:rsidRDefault="00AE4232" w:rsidP="00350E60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751E75" w:rsidRDefault="00CF35A2" w:rsidP="00AE4232">
            <w:pPr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4" w:type="dxa"/>
          </w:tcPr>
          <w:p w:rsidR="00AE4232" w:rsidRPr="00751E75" w:rsidRDefault="00EB3CAF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E4232" w:rsidRPr="00751E75" w:rsidRDefault="00EB3CAF" w:rsidP="00D216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57,9</w:t>
            </w:r>
            <w:r w:rsidR="00D21692" w:rsidRPr="00751E75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751E75" w:rsidRDefault="00CF35A2" w:rsidP="00AE4232">
            <w:pPr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AE4232" w:rsidRPr="00751E75" w:rsidRDefault="00EB3CAF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32" w:rsidRPr="00751E75" w:rsidRDefault="00EB3CAF" w:rsidP="00D216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5,3</w:t>
            </w:r>
            <w:r w:rsidR="00D21692" w:rsidRPr="00751E75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EB3CAF" w:rsidRPr="003C313A" w:rsidTr="000D1B5F">
        <w:tc>
          <w:tcPr>
            <w:tcW w:w="708" w:type="dxa"/>
          </w:tcPr>
          <w:p w:rsidR="00EB3CAF" w:rsidRPr="003C313A" w:rsidRDefault="00EB3CAF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B3CAF" w:rsidRPr="00751E75" w:rsidRDefault="00EB3CAF" w:rsidP="00AE4232">
            <w:pPr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Газификация поселений</w:t>
            </w:r>
          </w:p>
        </w:tc>
        <w:tc>
          <w:tcPr>
            <w:tcW w:w="1134" w:type="dxa"/>
          </w:tcPr>
          <w:p w:rsidR="00EB3CAF" w:rsidRPr="00751E75" w:rsidRDefault="00EB3CAF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3CAF" w:rsidRPr="00751E75" w:rsidRDefault="00EB3CAF" w:rsidP="00D216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5.3%</w:t>
            </w:r>
          </w:p>
        </w:tc>
      </w:tr>
      <w:tr w:rsidR="00EB3CAF" w:rsidRPr="003C313A" w:rsidTr="000D1B5F">
        <w:tc>
          <w:tcPr>
            <w:tcW w:w="708" w:type="dxa"/>
          </w:tcPr>
          <w:p w:rsidR="00EB3CAF" w:rsidRPr="003C313A" w:rsidRDefault="00EB3CAF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B3CAF" w:rsidRPr="00751E75" w:rsidRDefault="00EB3CAF" w:rsidP="00AE4232">
            <w:pPr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Перебои в газоснабжении</w:t>
            </w:r>
          </w:p>
        </w:tc>
        <w:tc>
          <w:tcPr>
            <w:tcW w:w="1134" w:type="dxa"/>
          </w:tcPr>
          <w:p w:rsidR="00EB3CAF" w:rsidRPr="00751E75" w:rsidRDefault="00EB3CAF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3CAF" w:rsidRPr="00751E75" w:rsidRDefault="00EB3CAF" w:rsidP="00D216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5,3%</w:t>
            </w:r>
          </w:p>
        </w:tc>
      </w:tr>
      <w:tr w:rsidR="00EB3CAF" w:rsidRPr="003C313A" w:rsidTr="000D1B5F">
        <w:tc>
          <w:tcPr>
            <w:tcW w:w="708" w:type="dxa"/>
          </w:tcPr>
          <w:p w:rsidR="00EB3CAF" w:rsidRPr="003C313A" w:rsidRDefault="00EB3CAF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B3CAF" w:rsidRPr="00751E75" w:rsidRDefault="00EB3CAF" w:rsidP="00AE4232">
            <w:pPr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Неудовлетворительное состояние системы электроснабжения</w:t>
            </w:r>
          </w:p>
        </w:tc>
        <w:tc>
          <w:tcPr>
            <w:tcW w:w="1134" w:type="dxa"/>
          </w:tcPr>
          <w:p w:rsidR="00EB3CAF" w:rsidRPr="00751E75" w:rsidRDefault="00EB3CAF" w:rsidP="006467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3CAF" w:rsidRPr="00751E75" w:rsidRDefault="00EB3CAF" w:rsidP="006467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5,3%</w:t>
            </w:r>
          </w:p>
        </w:tc>
      </w:tr>
      <w:tr w:rsidR="00EB3CAF" w:rsidRPr="003C313A" w:rsidTr="000D1B5F">
        <w:tc>
          <w:tcPr>
            <w:tcW w:w="708" w:type="dxa"/>
          </w:tcPr>
          <w:p w:rsidR="00EB3CAF" w:rsidRPr="003C313A" w:rsidRDefault="00EB3CAF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B3CAF" w:rsidRPr="00751E75" w:rsidRDefault="00EB3CAF" w:rsidP="00AE4232">
            <w:pPr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</w:tcPr>
          <w:p w:rsidR="00EB3CAF" w:rsidRPr="00751E75" w:rsidRDefault="00751E75" w:rsidP="006467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3CAF" w:rsidRPr="00751E75" w:rsidRDefault="00751E75" w:rsidP="006467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5,3%</w:t>
            </w:r>
          </w:p>
        </w:tc>
      </w:tr>
      <w:tr w:rsidR="00751E75" w:rsidRPr="003C313A" w:rsidTr="000D1B5F">
        <w:tc>
          <w:tcPr>
            <w:tcW w:w="708" w:type="dxa"/>
          </w:tcPr>
          <w:p w:rsidR="00751E75" w:rsidRPr="003C313A" w:rsidRDefault="00751E75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51E75" w:rsidRPr="00751E75" w:rsidRDefault="00751E75" w:rsidP="00AE4232">
            <w:pPr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Реконструкция объектов железнодорожного, авиа_ и водного транспорта, дорог</w:t>
            </w:r>
          </w:p>
        </w:tc>
        <w:tc>
          <w:tcPr>
            <w:tcW w:w="1134" w:type="dxa"/>
          </w:tcPr>
          <w:p w:rsidR="00751E75" w:rsidRPr="00751E75" w:rsidRDefault="00751E75" w:rsidP="006467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1E75" w:rsidRPr="00751E75" w:rsidRDefault="00751E75" w:rsidP="006467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10,5%</w:t>
            </w:r>
          </w:p>
        </w:tc>
      </w:tr>
      <w:tr w:rsidR="00751E75" w:rsidRPr="003C313A" w:rsidTr="000D1B5F">
        <w:tc>
          <w:tcPr>
            <w:tcW w:w="708" w:type="dxa"/>
          </w:tcPr>
          <w:p w:rsidR="00751E75" w:rsidRPr="003C313A" w:rsidRDefault="00751E75" w:rsidP="0084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  <w:vAlign w:val="center"/>
          </w:tcPr>
          <w:p w:rsidR="00751E75" w:rsidRPr="00751E75" w:rsidRDefault="00751E75" w:rsidP="00AE4232">
            <w:pPr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Право на приобретение и прекращение гражданства</w:t>
            </w:r>
          </w:p>
        </w:tc>
        <w:tc>
          <w:tcPr>
            <w:tcW w:w="1134" w:type="dxa"/>
          </w:tcPr>
          <w:p w:rsidR="00751E75" w:rsidRPr="00751E75" w:rsidRDefault="00751E75" w:rsidP="006467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1E75" w:rsidRPr="00751E75" w:rsidRDefault="00751E75" w:rsidP="006467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1E75">
              <w:rPr>
                <w:color w:val="000000" w:themeColor="text1"/>
                <w:sz w:val="28"/>
                <w:szCs w:val="28"/>
              </w:rPr>
              <w:t>5,3%</w:t>
            </w:r>
          </w:p>
        </w:tc>
      </w:tr>
      <w:tr w:rsidR="00FC40F4" w:rsidRPr="003C313A" w:rsidTr="000D1B5F">
        <w:trPr>
          <w:trHeight w:val="70"/>
        </w:trPr>
        <w:tc>
          <w:tcPr>
            <w:tcW w:w="708" w:type="dxa"/>
          </w:tcPr>
          <w:p w:rsidR="00FC40F4" w:rsidRPr="003C313A" w:rsidRDefault="00FC40F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C40F4" w:rsidRPr="003A2B10" w:rsidRDefault="00DB3059" w:rsidP="00751E75">
            <w:pPr>
              <w:rPr>
                <w:color w:val="000000" w:themeColor="text1"/>
                <w:sz w:val="28"/>
                <w:szCs w:val="28"/>
              </w:rPr>
            </w:pPr>
            <w:hyperlink r:id="rId17" w:tgtFrame="info" w:tooltip="Подробная информация" w:history="1">
              <w:r w:rsidR="003A2B10" w:rsidRPr="003A2B10">
                <w:rPr>
                  <w:bCs/>
                  <w:color w:val="000000" w:themeColor="text1"/>
                  <w:sz w:val="28"/>
                  <w:szCs w:val="28"/>
                </w:rPr>
                <w:t>Иные вопросы (</w:t>
              </w:r>
              <w:r w:rsidR="00751E75">
                <w:rPr>
                  <w:bCs/>
                  <w:color w:val="000000" w:themeColor="text1"/>
                  <w:sz w:val="28"/>
                  <w:szCs w:val="28"/>
                </w:rPr>
                <w:t>индивидуальные обращения</w:t>
              </w:r>
              <w:r w:rsidR="003A2B10" w:rsidRPr="003A2B10">
                <w:rPr>
                  <w:bCs/>
                  <w:color w:val="000000" w:themeColor="text1"/>
                  <w:sz w:val="28"/>
                  <w:szCs w:val="28"/>
                </w:rPr>
                <w:t xml:space="preserve">) </w:t>
              </w:r>
            </w:hyperlink>
          </w:p>
        </w:tc>
        <w:tc>
          <w:tcPr>
            <w:tcW w:w="1134" w:type="dxa"/>
          </w:tcPr>
          <w:p w:rsidR="00FC40F4" w:rsidRPr="003A2B10" w:rsidRDefault="00FC40F4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2B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40F4" w:rsidRDefault="00751E75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2B10">
              <w:rPr>
                <w:sz w:val="28"/>
                <w:szCs w:val="28"/>
              </w:rPr>
              <w:t>,3</w:t>
            </w:r>
            <w:r w:rsidR="00FC40F4">
              <w:rPr>
                <w:sz w:val="28"/>
                <w:szCs w:val="28"/>
              </w:rPr>
              <w:t>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комиссионно</w:t>
      </w:r>
      <w:r w:rsidRPr="001A6F92">
        <w:rPr>
          <w:rFonts w:eastAsia="Calibri"/>
          <w:b/>
          <w:sz w:val="28"/>
          <w:szCs w:val="28"/>
          <w:lang w:eastAsia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3075"/>
      </w:tblGrid>
      <w:tr w:rsidR="000D1B5F" w:rsidRPr="000503D0" w:rsidTr="000D1B5F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46788" w:rsidRDefault="0094678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 </w:t>
            </w:r>
          </w:p>
          <w:p w:rsidR="000D1B5F" w:rsidRPr="00AC3EED" w:rsidRDefault="00946788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(1 квартал)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Default="000D1B5F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751E75">
              <w:rPr>
                <w:sz w:val="28"/>
                <w:szCs w:val="28"/>
              </w:rPr>
              <w:t>7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  <w:p w:rsidR="00946788" w:rsidRPr="00603424" w:rsidRDefault="00946788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квартал)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FC40F4" w:rsidRDefault="00A0358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1B5F" w:rsidRPr="00FC40F4" w:rsidRDefault="000D1B5F" w:rsidP="006D3CFE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lastRenderedPageBreak/>
              <w:t>(</w:t>
            </w:r>
            <w:r w:rsidR="00A0358A">
              <w:rPr>
                <w:sz w:val="28"/>
                <w:szCs w:val="28"/>
              </w:rPr>
              <w:t>8,3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FC40F4" w:rsidRDefault="00751E75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0D1B5F" w:rsidRPr="00FC40F4" w:rsidRDefault="0005036B" w:rsidP="00751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="00751E75">
              <w:rPr>
                <w:sz w:val="28"/>
                <w:szCs w:val="28"/>
              </w:rPr>
              <w:t>15,8</w:t>
            </w:r>
            <w:r w:rsidR="000D1B5F" w:rsidRPr="00FC40F4">
              <w:rPr>
                <w:sz w:val="28"/>
                <w:szCs w:val="28"/>
              </w:rPr>
              <w:t>%)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выездом на место</w:t>
            </w:r>
          </w:p>
        </w:tc>
        <w:tc>
          <w:tcPr>
            <w:tcW w:w="1654" w:type="dxa"/>
          </w:tcPr>
          <w:p w:rsidR="000D1B5F" w:rsidRPr="00FC40F4" w:rsidRDefault="0005036B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D1B5F" w:rsidRPr="00FC40F4" w:rsidRDefault="000D1B5F" w:rsidP="006D3CFE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05036B">
              <w:rPr>
                <w:sz w:val="28"/>
                <w:szCs w:val="28"/>
              </w:rPr>
              <w:t>91,7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</w:tcPr>
          <w:p w:rsidR="000D1B5F" w:rsidRPr="00FC40F4" w:rsidRDefault="00751E7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D1B5F" w:rsidRPr="00FC40F4" w:rsidRDefault="000D1B5F" w:rsidP="00825763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825763">
              <w:rPr>
                <w:sz w:val="28"/>
                <w:szCs w:val="28"/>
              </w:rPr>
              <w:t>26,3</w:t>
            </w:r>
            <w:r w:rsidRPr="00FC40F4">
              <w:rPr>
                <w:sz w:val="28"/>
                <w:szCs w:val="28"/>
              </w:rPr>
              <w:t>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91"/>
      </w:tblGrid>
      <w:tr w:rsidR="005F2A96" w:rsidTr="006F2563">
        <w:tc>
          <w:tcPr>
            <w:tcW w:w="4748" w:type="dxa"/>
          </w:tcPr>
          <w:p w:rsidR="005F2A96" w:rsidRPr="00512C84" w:rsidRDefault="005F2A96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512C84" w:rsidRDefault="005F2A96" w:rsidP="005F1F9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6F2563">
        <w:tc>
          <w:tcPr>
            <w:tcW w:w="4748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0860" cy="2049780"/>
                  <wp:effectExtent l="0" t="0" r="0" b="0"/>
                  <wp:docPr id="8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93720" cy="2049780"/>
                  <wp:effectExtent l="0" t="0" r="0" b="0"/>
                  <wp:docPr id="1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A5748D" w:rsidRPr="00E129D4" w:rsidRDefault="00A5748D" w:rsidP="00BA3D62">
      <w:pPr>
        <w:ind w:firstLine="709"/>
        <w:jc w:val="both"/>
        <w:rPr>
          <w:sz w:val="28"/>
          <w:szCs w:val="28"/>
        </w:rPr>
      </w:pPr>
    </w:p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5F1F90" w:rsidRDefault="005F1F90" w:rsidP="005F1F90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F1F90" w:rsidTr="006F2563">
        <w:tc>
          <w:tcPr>
            <w:tcW w:w="4748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6F2563">
        <w:tc>
          <w:tcPr>
            <w:tcW w:w="4748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2A3AB4" w:rsidRDefault="002A3AB4" w:rsidP="00A0358A">
      <w:pPr>
        <w:pStyle w:val="3"/>
        <w:spacing w:after="0"/>
        <w:ind w:left="0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8F29F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464AB">
        <w:rPr>
          <w:sz w:val="28"/>
          <w:szCs w:val="28"/>
        </w:rPr>
        <w:t xml:space="preserve"> </w:t>
      </w:r>
      <w:r w:rsidR="00A0358A">
        <w:rPr>
          <w:sz w:val="28"/>
          <w:szCs w:val="28"/>
          <w:lang w:val="en-US"/>
        </w:rPr>
        <w:t>I</w:t>
      </w:r>
      <w:r w:rsidR="00825763">
        <w:rPr>
          <w:sz w:val="28"/>
          <w:szCs w:val="28"/>
        </w:rPr>
        <w:t xml:space="preserve"> квартал 2017</w:t>
      </w:r>
      <w:r w:rsidR="000503D0" w:rsidRPr="001A6F92">
        <w:rPr>
          <w:sz w:val="28"/>
          <w:szCs w:val="28"/>
        </w:rPr>
        <w:t xml:space="preserve"> на </w:t>
      </w:r>
      <w:r w:rsidR="007464AB">
        <w:rPr>
          <w:sz w:val="28"/>
          <w:szCs w:val="28"/>
        </w:rPr>
        <w:t xml:space="preserve">рассмотрении в Администрации </w:t>
      </w:r>
      <w:r>
        <w:rPr>
          <w:sz w:val="28"/>
          <w:szCs w:val="28"/>
        </w:rPr>
        <w:t xml:space="preserve">Новоегорлыкского сельского поселения находились </w:t>
      </w:r>
      <w:r w:rsidR="00825763">
        <w:rPr>
          <w:sz w:val="28"/>
          <w:szCs w:val="28"/>
        </w:rPr>
        <w:t>19</w:t>
      </w:r>
      <w:r>
        <w:rPr>
          <w:sz w:val="28"/>
          <w:szCs w:val="28"/>
        </w:rPr>
        <w:t xml:space="preserve"> обращений</w:t>
      </w:r>
      <w:r w:rsidR="007464AB"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799"/>
        <w:gridCol w:w="1560"/>
        <w:gridCol w:w="1559"/>
      </w:tblGrid>
      <w:tr w:rsidR="00A0358A" w:rsidRPr="000503D0" w:rsidTr="00A0358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0358A" w:rsidRDefault="00A0358A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AC3EED" w:rsidRDefault="00A0358A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 квартал 2016</w:t>
            </w:r>
            <w:r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603424" w:rsidRDefault="00A0358A" w:rsidP="009D6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424">
              <w:rPr>
                <w:sz w:val="28"/>
                <w:szCs w:val="28"/>
              </w:rPr>
              <w:t xml:space="preserve"> квартал 201</w:t>
            </w:r>
            <w:r w:rsidR="00825763">
              <w:rPr>
                <w:sz w:val="28"/>
                <w:szCs w:val="28"/>
              </w:rPr>
              <w:t>7</w:t>
            </w:r>
            <w:r w:rsidRPr="00603424">
              <w:rPr>
                <w:sz w:val="28"/>
                <w:szCs w:val="28"/>
              </w:rPr>
              <w:t xml:space="preserve"> г.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FC40F4" w:rsidRDefault="00A0358A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0358A" w:rsidRPr="00FC40F4" w:rsidRDefault="00A0358A" w:rsidP="00D21692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58,3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FC40F4" w:rsidRDefault="00825763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0358A" w:rsidRPr="00FC40F4">
              <w:rPr>
                <w:sz w:val="28"/>
                <w:szCs w:val="28"/>
              </w:rPr>
              <w:t xml:space="preserve"> </w:t>
            </w:r>
          </w:p>
          <w:p w:rsidR="00A0358A" w:rsidRPr="00FC40F4" w:rsidRDefault="00A0358A" w:rsidP="00825763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825763">
              <w:rPr>
                <w:sz w:val="28"/>
                <w:szCs w:val="28"/>
              </w:rPr>
              <w:t>21</w:t>
            </w:r>
            <w:r w:rsidRPr="00FC40F4">
              <w:rPr>
                <w:sz w:val="28"/>
                <w:szCs w:val="28"/>
              </w:rPr>
              <w:t>%)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560" w:type="dxa"/>
          </w:tcPr>
          <w:p w:rsidR="00A0358A" w:rsidRPr="00FC40F4" w:rsidRDefault="00A0358A" w:rsidP="0084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0358A" w:rsidRPr="00FC40F4" w:rsidRDefault="00A0358A" w:rsidP="00D21692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</w:rPr>
              <w:t>41,7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1559" w:type="dxa"/>
          </w:tcPr>
          <w:p w:rsidR="00A0358A" w:rsidRPr="00FC40F4" w:rsidRDefault="00825763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  <w:p w:rsidR="00A0358A" w:rsidRPr="00FC40F4" w:rsidRDefault="00A0358A" w:rsidP="00825763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lastRenderedPageBreak/>
              <w:t>(</w:t>
            </w:r>
            <w:r w:rsidR="00825763">
              <w:rPr>
                <w:sz w:val="28"/>
                <w:szCs w:val="28"/>
              </w:rPr>
              <w:t>79%</w:t>
            </w:r>
            <w:r w:rsidRPr="00FC40F4">
              <w:rPr>
                <w:sz w:val="28"/>
                <w:szCs w:val="28"/>
              </w:rPr>
              <w:t>)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DC234C" w:rsidRDefault="00A0358A" w:rsidP="000E18CF">
            <w:pPr>
              <w:jc w:val="center"/>
              <w:rPr>
                <w:sz w:val="28"/>
                <w:szCs w:val="28"/>
              </w:rPr>
            </w:pPr>
            <w:r w:rsidRPr="00DC234C">
              <w:rPr>
                <w:sz w:val="28"/>
                <w:szCs w:val="28"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16"/>
        <w:gridCol w:w="3773"/>
      </w:tblGrid>
      <w:tr w:rsidR="007761F2" w:rsidTr="006F2563">
        <w:tc>
          <w:tcPr>
            <w:tcW w:w="5019" w:type="dxa"/>
          </w:tcPr>
          <w:p w:rsidR="007761F2" w:rsidRPr="00512C84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512C84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7761F2" w:rsidTr="006F2563">
        <w:tc>
          <w:tcPr>
            <w:tcW w:w="5019" w:type="dxa"/>
          </w:tcPr>
          <w:p w:rsidR="007761F2" w:rsidRDefault="00E63B5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86400" cy="3200400"/>
                  <wp:effectExtent l="19050" t="0" r="1905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tbl>
            <w:tblPr>
              <w:tblW w:w="490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66"/>
              <w:gridCol w:w="66"/>
              <w:gridCol w:w="4346"/>
              <w:gridCol w:w="66"/>
              <w:gridCol w:w="66"/>
              <w:gridCol w:w="41"/>
              <w:gridCol w:w="36"/>
              <w:gridCol w:w="40"/>
              <w:gridCol w:w="36"/>
              <w:gridCol w:w="40"/>
              <w:gridCol w:w="36"/>
              <w:gridCol w:w="40"/>
              <w:gridCol w:w="24"/>
            </w:tblGrid>
            <w:tr w:rsidR="00DA4D81" w:rsidRPr="00DA4D81" w:rsidTr="00A0358A">
              <w:trPr>
                <w:gridAfter w:val="1"/>
                <w:wAfter w:w="24" w:type="dxa"/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61F2" w:rsidRDefault="007761F2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63B50" w:rsidRPr="00512C84" w:rsidRDefault="00E63B50" w:rsidP="00E63B50">
      <w:pPr>
        <w:pStyle w:val="3"/>
        <w:spacing w:after="0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Относительные показатели (%)</w:t>
      </w:r>
    </w:p>
    <w:p w:rsidR="00E63B50" w:rsidRDefault="00E63B50" w:rsidP="003C313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2050" cy="261937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83E38" w:rsidRPr="00F54C1B" w:rsidRDefault="00183E38" w:rsidP="003C313A">
      <w:pPr>
        <w:jc w:val="both"/>
        <w:rPr>
          <w:szCs w:val="28"/>
        </w:rPr>
      </w:pPr>
      <w:r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p w:rsidR="0004582E" w:rsidRDefault="0004582E" w:rsidP="00F54C1B">
      <w:pPr>
        <w:jc w:val="both"/>
        <w:rPr>
          <w:szCs w:val="28"/>
        </w:rPr>
      </w:pPr>
    </w:p>
    <w:p w:rsidR="0004582E" w:rsidRDefault="0004582E" w:rsidP="00F54C1B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04582E" w:rsidRDefault="0004582E" w:rsidP="00F54C1B">
      <w:pPr>
        <w:jc w:val="both"/>
        <w:rPr>
          <w:szCs w:val="28"/>
        </w:rPr>
      </w:pPr>
      <w:r>
        <w:rPr>
          <w:szCs w:val="28"/>
        </w:rPr>
        <w:t>Новоегорлыкского сельского поселения                                                  Е.В.Григоренко</w:t>
      </w:r>
    </w:p>
    <w:p w:rsidR="0004582E" w:rsidRDefault="0004582E" w:rsidP="00F54C1B">
      <w:pPr>
        <w:jc w:val="both"/>
        <w:rPr>
          <w:sz w:val="28"/>
          <w:szCs w:val="28"/>
        </w:rPr>
      </w:pPr>
    </w:p>
    <w:sectPr w:rsidR="0004582E" w:rsidSect="00E63B50">
      <w:footerReference w:type="default" r:id="rId24"/>
      <w:pgSz w:w="11906" w:h="16838"/>
      <w:pgMar w:top="284" w:right="70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6BC" w:rsidRDefault="00DA76BC">
      <w:r>
        <w:separator/>
      </w:r>
    </w:p>
  </w:endnote>
  <w:endnote w:type="continuationSeparator" w:id="1">
    <w:p w:rsidR="00DA76BC" w:rsidRDefault="00DA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B" w:rsidRDefault="00DB3059">
    <w:pPr>
      <w:pStyle w:val="a3"/>
      <w:jc w:val="right"/>
    </w:pPr>
    <w:fldSimple w:instr=" PAGE   \* MERGEFORMAT ">
      <w:r w:rsidR="0004582E">
        <w:rPr>
          <w:noProof/>
        </w:rPr>
        <w:t>1</w:t>
      </w:r>
    </w:fldSimple>
  </w:p>
  <w:p w:rsidR="006157FB" w:rsidRDefault="006157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6BC" w:rsidRDefault="00DA76BC">
      <w:r>
        <w:separator/>
      </w:r>
    </w:p>
  </w:footnote>
  <w:footnote w:type="continuationSeparator" w:id="1">
    <w:p w:rsidR="00DA76BC" w:rsidRDefault="00DA7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D0"/>
    <w:rsid w:val="00004329"/>
    <w:rsid w:val="00021B82"/>
    <w:rsid w:val="0003534B"/>
    <w:rsid w:val="0004582E"/>
    <w:rsid w:val="00046F58"/>
    <w:rsid w:val="0005036B"/>
    <w:rsid w:val="000503D0"/>
    <w:rsid w:val="0007156A"/>
    <w:rsid w:val="00081233"/>
    <w:rsid w:val="00083EA5"/>
    <w:rsid w:val="000B3B53"/>
    <w:rsid w:val="000B5A7C"/>
    <w:rsid w:val="000C2776"/>
    <w:rsid w:val="000C7106"/>
    <w:rsid w:val="000D1170"/>
    <w:rsid w:val="000D1B5F"/>
    <w:rsid w:val="000E18CF"/>
    <w:rsid w:val="000F3553"/>
    <w:rsid w:val="00162848"/>
    <w:rsid w:val="00171AE7"/>
    <w:rsid w:val="00183E38"/>
    <w:rsid w:val="001A6F92"/>
    <w:rsid w:val="001D2327"/>
    <w:rsid w:val="001D4F32"/>
    <w:rsid w:val="001F58C7"/>
    <w:rsid w:val="00212BA8"/>
    <w:rsid w:val="0021402C"/>
    <w:rsid w:val="0021500C"/>
    <w:rsid w:val="00217D47"/>
    <w:rsid w:val="00245635"/>
    <w:rsid w:val="0025759A"/>
    <w:rsid w:val="00260201"/>
    <w:rsid w:val="002650D4"/>
    <w:rsid w:val="0027229D"/>
    <w:rsid w:val="0029517F"/>
    <w:rsid w:val="002A3AB4"/>
    <w:rsid w:val="002A4098"/>
    <w:rsid w:val="002C2656"/>
    <w:rsid w:val="002C26C6"/>
    <w:rsid w:val="002C2AA1"/>
    <w:rsid w:val="002C65B4"/>
    <w:rsid w:val="002E32E3"/>
    <w:rsid w:val="002E4232"/>
    <w:rsid w:val="002F6946"/>
    <w:rsid w:val="00301233"/>
    <w:rsid w:val="00324AFF"/>
    <w:rsid w:val="00350E60"/>
    <w:rsid w:val="00352B16"/>
    <w:rsid w:val="003816C5"/>
    <w:rsid w:val="003833A0"/>
    <w:rsid w:val="00393B9C"/>
    <w:rsid w:val="003A2B10"/>
    <w:rsid w:val="003A4E3A"/>
    <w:rsid w:val="003A5A87"/>
    <w:rsid w:val="003B6D8B"/>
    <w:rsid w:val="003C313A"/>
    <w:rsid w:val="003D6280"/>
    <w:rsid w:val="003F1552"/>
    <w:rsid w:val="00405412"/>
    <w:rsid w:val="0044071A"/>
    <w:rsid w:val="0045375E"/>
    <w:rsid w:val="0047793C"/>
    <w:rsid w:val="00483C46"/>
    <w:rsid w:val="00491580"/>
    <w:rsid w:val="00494914"/>
    <w:rsid w:val="004B1F04"/>
    <w:rsid w:val="004B27EE"/>
    <w:rsid w:val="004B4A74"/>
    <w:rsid w:val="004B714F"/>
    <w:rsid w:val="004C3997"/>
    <w:rsid w:val="004C5BC6"/>
    <w:rsid w:val="004D5A8E"/>
    <w:rsid w:val="004F30A5"/>
    <w:rsid w:val="004F5001"/>
    <w:rsid w:val="00512C84"/>
    <w:rsid w:val="0051325C"/>
    <w:rsid w:val="00520367"/>
    <w:rsid w:val="005273AB"/>
    <w:rsid w:val="00532FBB"/>
    <w:rsid w:val="005415E6"/>
    <w:rsid w:val="005451BD"/>
    <w:rsid w:val="005518C4"/>
    <w:rsid w:val="005B4627"/>
    <w:rsid w:val="005B6CB0"/>
    <w:rsid w:val="005C0B8D"/>
    <w:rsid w:val="005E7071"/>
    <w:rsid w:val="005E78E3"/>
    <w:rsid w:val="005F1F90"/>
    <w:rsid w:val="005F2A96"/>
    <w:rsid w:val="005F6CC5"/>
    <w:rsid w:val="00603424"/>
    <w:rsid w:val="00604AD1"/>
    <w:rsid w:val="006157FB"/>
    <w:rsid w:val="006209EC"/>
    <w:rsid w:val="00624960"/>
    <w:rsid w:val="0063643E"/>
    <w:rsid w:val="00643F57"/>
    <w:rsid w:val="006452E5"/>
    <w:rsid w:val="00657DE1"/>
    <w:rsid w:val="00666F8D"/>
    <w:rsid w:val="006738E5"/>
    <w:rsid w:val="00676204"/>
    <w:rsid w:val="0069404F"/>
    <w:rsid w:val="006B0737"/>
    <w:rsid w:val="006B6DAF"/>
    <w:rsid w:val="006C2F34"/>
    <w:rsid w:val="006C4E8C"/>
    <w:rsid w:val="006D3CFE"/>
    <w:rsid w:val="006F2563"/>
    <w:rsid w:val="00726240"/>
    <w:rsid w:val="007324CE"/>
    <w:rsid w:val="00733C43"/>
    <w:rsid w:val="00736044"/>
    <w:rsid w:val="007464AB"/>
    <w:rsid w:val="00751E75"/>
    <w:rsid w:val="00752E96"/>
    <w:rsid w:val="00761AF2"/>
    <w:rsid w:val="007761F2"/>
    <w:rsid w:val="00785DB3"/>
    <w:rsid w:val="007C1F86"/>
    <w:rsid w:val="007D600E"/>
    <w:rsid w:val="007D672F"/>
    <w:rsid w:val="007F6E69"/>
    <w:rsid w:val="00801873"/>
    <w:rsid w:val="00825245"/>
    <w:rsid w:val="00825763"/>
    <w:rsid w:val="008331BC"/>
    <w:rsid w:val="00840193"/>
    <w:rsid w:val="00844055"/>
    <w:rsid w:val="0084592F"/>
    <w:rsid w:val="00847DA0"/>
    <w:rsid w:val="00851594"/>
    <w:rsid w:val="0086291C"/>
    <w:rsid w:val="008900F6"/>
    <w:rsid w:val="008B2B10"/>
    <w:rsid w:val="008D2161"/>
    <w:rsid w:val="008D4109"/>
    <w:rsid w:val="008E544E"/>
    <w:rsid w:val="008F29F3"/>
    <w:rsid w:val="008F6681"/>
    <w:rsid w:val="0090010D"/>
    <w:rsid w:val="00901C23"/>
    <w:rsid w:val="00933F72"/>
    <w:rsid w:val="0093793A"/>
    <w:rsid w:val="00940064"/>
    <w:rsid w:val="00946788"/>
    <w:rsid w:val="00961F85"/>
    <w:rsid w:val="00963BF6"/>
    <w:rsid w:val="00970FBD"/>
    <w:rsid w:val="00974558"/>
    <w:rsid w:val="00990916"/>
    <w:rsid w:val="009B4086"/>
    <w:rsid w:val="009B5DDA"/>
    <w:rsid w:val="009D36DC"/>
    <w:rsid w:val="009D6CA0"/>
    <w:rsid w:val="009F1EAD"/>
    <w:rsid w:val="00A0358A"/>
    <w:rsid w:val="00A51E25"/>
    <w:rsid w:val="00A5748D"/>
    <w:rsid w:val="00A84751"/>
    <w:rsid w:val="00A940F2"/>
    <w:rsid w:val="00AA218D"/>
    <w:rsid w:val="00AA36C2"/>
    <w:rsid w:val="00AA7279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1B63"/>
    <w:rsid w:val="00AF2D3D"/>
    <w:rsid w:val="00B117C3"/>
    <w:rsid w:val="00B12BA2"/>
    <w:rsid w:val="00B22C6D"/>
    <w:rsid w:val="00B26FEA"/>
    <w:rsid w:val="00B31D4C"/>
    <w:rsid w:val="00B40F28"/>
    <w:rsid w:val="00B505C6"/>
    <w:rsid w:val="00B55888"/>
    <w:rsid w:val="00B64866"/>
    <w:rsid w:val="00B71699"/>
    <w:rsid w:val="00B82A71"/>
    <w:rsid w:val="00B84D09"/>
    <w:rsid w:val="00BA3D62"/>
    <w:rsid w:val="00BB4A5B"/>
    <w:rsid w:val="00BD7F57"/>
    <w:rsid w:val="00BE638E"/>
    <w:rsid w:val="00BF2222"/>
    <w:rsid w:val="00C20C01"/>
    <w:rsid w:val="00C2719C"/>
    <w:rsid w:val="00C7272B"/>
    <w:rsid w:val="00C751F4"/>
    <w:rsid w:val="00CA1498"/>
    <w:rsid w:val="00CA6FE0"/>
    <w:rsid w:val="00CB713B"/>
    <w:rsid w:val="00CE3825"/>
    <w:rsid w:val="00CF0611"/>
    <w:rsid w:val="00CF35A2"/>
    <w:rsid w:val="00D04D5B"/>
    <w:rsid w:val="00D13109"/>
    <w:rsid w:val="00D145DA"/>
    <w:rsid w:val="00D21692"/>
    <w:rsid w:val="00D2225A"/>
    <w:rsid w:val="00D365B9"/>
    <w:rsid w:val="00D4394D"/>
    <w:rsid w:val="00D44821"/>
    <w:rsid w:val="00D508E6"/>
    <w:rsid w:val="00D523A6"/>
    <w:rsid w:val="00D60247"/>
    <w:rsid w:val="00D634A3"/>
    <w:rsid w:val="00D650E0"/>
    <w:rsid w:val="00D71972"/>
    <w:rsid w:val="00D812EF"/>
    <w:rsid w:val="00DA34A6"/>
    <w:rsid w:val="00DA4D81"/>
    <w:rsid w:val="00DA76BC"/>
    <w:rsid w:val="00DB041D"/>
    <w:rsid w:val="00DB3059"/>
    <w:rsid w:val="00DB3894"/>
    <w:rsid w:val="00DC234C"/>
    <w:rsid w:val="00DC3304"/>
    <w:rsid w:val="00DD5E02"/>
    <w:rsid w:val="00DE7F2A"/>
    <w:rsid w:val="00DF6F51"/>
    <w:rsid w:val="00E10243"/>
    <w:rsid w:val="00E11113"/>
    <w:rsid w:val="00E129D4"/>
    <w:rsid w:val="00E136FA"/>
    <w:rsid w:val="00E25E3E"/>
    <w:rsid w:val="00E3726F"/>
    <w:rsid w:val="00E44072"/>
    <w:rsid w:val="00E63B50"/>
    <w:rsid w:val="00E76363"/>
    <w:rsid w:val="00E8735F"/>
    <w:rsid w:val="00E96007"/>
    <w:rsid w:val="00E9788B"/>
    <w:rsid w:val="00EB3CAF"/>
    <w:rsid w:val="00EC7DF3"/>
    <w:rsid w:val="00EF0FB4"/>
    <w:rsid w:val="00EF7A5F"/>
    <w:rsid w:val="00F03278"/>
    <w:rsid w:val="00F05CB2"/>
    <w:rsid w:val="00F15DB0"/>
    <w:rsid w:val="00F30FD8"/>
    <w:rsid w:val="00F3236B"/>
    <w:rsid w:val="00F425DD"/>
    <w:rsid w:val="00F50085"/>
    <w:rsid w:val="00F54C1B"/>
    <w:rsid w:val="00F83236"/>
    <w:rsid w:val="00F83AEC"/>
    <w:rsid w:val="00F925EB"/>
    <w:rsid w:val="00F9457F"/>
    <w:rsid w:val="00F955E6"/>
    <w:rsid w:val="00FA531C"/>
    <w:rsid w:val="00FA6308"/>
    <w:rsid w:val="00FA7B84"/>
    <w:rsid w:val="00FB1FF1"/>
    <w:rsid w:val="00FB5C75"/>
    <w:rsid w:val="00FC40F4"/>
    <w:rsid w:val="00FD67FF"/>
    <w:rsid w:val="00F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C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192.168.200.211/DELOWEB/Pages/Classif/ClassifInfo.aspx?classif=RUBRIC_CL&amp;due=0.17MH4T.17MSUT.17MSXR.19I77X.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173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95E-2"/>
                  <c:y val="-1.8838063846670361E-2"/>
                </c:manualLayout>
              </c:layout>
              <c:showVal val="1"/>
            </c:dLbl>
            <c:dLbl>
              <c:idx val="1"/>
              <c:layout>
                <c:manualLayout>
                  <c:x val="3.3447348520239124E-2"/>
                  <c:y val="-3.0075566135628402E-2"/>
                </c:manualLayout>
              </c:layout>
              <c:showVal val="1"/>
            </c:dLbl>
            <c:dLbl>
              <c:idx val="2"/>
              <c:layout>
                <c:manualLayout>
                  <c:x val="2.8556425798054768E-2"/>
                  <c:y val="-2.377586522614930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 2017 г.</c:v>
                </c:pt>
                <c:pt idx="1">
                  <c:v>за1 кв.  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</c:v>
                </c:pt>
                <c:pt idx="1">
                  <c:v>12</c:v>
                </c:pt>
              </c:numCache>
            </c:numRef>
          </c:val>
        </c:ser>
        <c:gapDepth val="0"/>
        <c:shape val="box"/>
        <c:axId val="122268672"/>
        <c:axId val="123343232"/>
        <c:axId val="0"/>
      </c:bar3DChart>
      <c:catAx>
        <c:axId val="1222686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3343232"/>
        <c:crosses val="autoZero"/>
        <c:auto val="1"/>
        <c:lblAlgn val="ctr"/>
        <c:lblOffset val="100"/>
        <c:tickLblSkip val="1"/>
        <c:tickMarkSkip val="1"/>
      </c:catAx>
      <c:valAx>
        <c:axId val="1233432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22686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85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 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</c:numCache>
            </c:numRef>
          </c:val>
        </c:ser>
        <c:gapDepth val="0"/>
        <c:shape val="box"/>
        <c:axId val="141488512"/>
        <c:axId val="141490048"/>
        <c:axId val="0"/>
      </c:bar3DChart>
      <c:catAx>
        <c:axId val="1414885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490048"/>
        <c:crosses val="autoZero"/>
        <c:auto val="1"/>
        <c:lblAlgn val="ctr"/>
        <c:lblOffset val="100"/>
        <c:tickLblSkip val="1"/>
        <c:tickMarkSkip val="1"/>
      </c:catAx>
      <c:valAx>
        <c:axId val="14149004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488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190407098348755E-2"/>
          <c:y val="6.0760544466825404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1кв. 2016 г.</c:v>
                </c:pt>
                <c:pt idx="1">
                  <c:v>за 1 кв. 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15.8</c:v>
                </c:pt>
              </c:numCache>
            </c:numRef>
          </c:val>
        </c:ser>
        <c:gapDepth val="0"/>
        <c:shape val="box"/>
        <c:axId val="131459712"/>
        <c:axId val="141070720"/>
        <c:axId val="0"/>
      </c:bar3DChart>
      <c:catAx>
        <c:axId val="1314597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070720"/>
        <c:crosses val="autoZero"/>
        <c:auto val="1"/>
        <c:lblAlgn val="ctr"/>
        <c:lblOffset val="100"/>
        <c:tickLblSkip val="1"/>
        <c:tickMarkSkip val="1"/>
      </c:catAx>
      <c:valAx>
        <c:axId val="14107072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314597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95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</c:v>
                </c:pt>
                <c:pt idx="1">
                  <c:v>5</c:v>
                </c:pt>
              </c:numCache>
            </c:numRef>
          </c:val>
        </c:ser>
        <c:gapDepth val="0"/>
        <c:shape val="box"/>
        <c:axId val="142053376"/>
        <c:axId val="142054912"/>
        <c:axId val="0"/>
      </c:bar3DChart>
      <c:catAx>
        <c:axId val="1420533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2054912"/>
        <c:crosses val="autoZero"/>
        <c:auto val="1"/>
        <c:lblAlgn val="ctr"/>
        <c:lblOffset val="100"/>
        <c:tickLblSkip val="1"/>
        <c:tickMarkSkip val="1"/>
      </c:catAx>
      <c:valAx>
        <c:axId val="14205491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20533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91.7</c:v>
                </c:pt>
                <c:pt idx="1">
                  <c:v>26.3</c:v>
                </c:pt>
              </c:numCache>
            </c:numRef>
          </c:val>
        </c:ser>
        <c:gapDepth val="0"/>
        <c:shape val="box"/>
        <c:axId val="147331328"/>
        <c:axId val="147341312"/>
        <c:axId val="0"/>
      </c:bar3DChart>
      <c:catAx>
        <c:axId val="1473313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7341312"/>
        <c:crosses val="autoZero"/>
        <c:auto val="1"/>
        <c:lblAlgn val="ctr"/>
        <c:lblOffset val="100"/>
        <c:tickLblSkip val="1"/>
        <c:tickMarkSkip val="1"/>
      </c:catAx>
      <c:valAx>
        <c:axId val="14734131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7331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поддержано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Лист1!$A$2:$A$5</c:f>
              <c:strCache>
                <c:ptCount val="2"/>
                <c:pt idx="0">
                  <c:v>1 квартал 2016</c:v>
                </c:pt>
                <c:pt idx="1">
                  <c:v>1 квартал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разъяснено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1 квартал 2016</c:v>
                </c:pt>
                <c:pt idx="1">
                  <c:v>1 квартал 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поддержано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1 квартал 2016</c:v>
                </c:pt>
                <c:pt idx="1">
                  <c:v>1 квартал 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47485440"/>
        <c:axId val="147486976"/>
        <c:axId val="0"/>
      </c:bar3DChart>
      <c:catAx>
        <c:axId val="147485440"/>
        <c:scaling>
          <c:orientation val="minMax"/>
        </c:scaling>
        <c:axPos val="b"/>
        <c:tickLblPos val="nextTo"/>
        <c:crossAx val="147486976"/>
        <c:crosses val="autoZero"/>
        <c:auto val="1"/>
        <c:lblAlgn val="ctr"/>
        <c:lblOffset val="100"/>
      </c:catAx>
      <c:valAx>
        <c:axId val="147486976"/>
        <c:scaling>
          <c:orientation val="minMax"/>
        </c:scaling>
        <c:axPos val="l"/>
        <c:majorGridlines/>
        <c:numFmt formatCode="General" sourceLinked="1"/>
        <c:tickLblPos val="nextTo"/>
        <c:crossAx val="147485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поддержано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1 квартал 2016</c:v>
                </c:pt>
                <c:pt idx="1">
                  <c:v>1 квартал 2017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58.3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разъяснено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1 квартал 2016</c:v>
                </c:pt>
                <c:pt idx="1">
                  <c:v>1 квартал 2017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41.7</c:v>
                </c:pt>
                <c:pt idx="1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поддержано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1 квартал 2016</c:v>
                </c:pt>
                <c:pt idx="1">
                  <c:v>1 квартал 2017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72122880"/>
        <c:axId val="172124416"/>
        <c:axId val="0"/>
      </c:bar3DChart>
      <c:catAx>
        <c:axId val="172122880"/>
        <c:scaling>
          <c:orientation val="minMax"/>
        </c:scaling>
        <c:axPos val="b"/>
        <c:tickLblPos val="nextTo"/>
        <c:crossAx val="172124416"/>
        <c:crosses val="autoZero"/>
        <c:auto val="1"/>
        <c:lblAlgn val="ctr"/>
        <c:lblOffset val="100"/>
      </c:catAx>
      <c:valAx>
        <c:axId val="172124416"/>
        <c:scaling>
          <c:orientation val="minMax"/>
        </c:scaling>
        <c:axPos val="l"/>
        <c:majorGridlines/>
        <c:numFmt formatCode="General" sourceLinked="1"/>
        <c:tickLblPos val="nextTo"/>
        <c:crossAx val="172122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кв.2017 г.</c:v>
                </c:pt>
                <c:pt idx="1">
                  <c:v>за 1 кв. 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63.2</c:v>
                </c:pt>
              </c:numCache>
            </c:numRef>
          </c:val>
        </c:ser>
        <c:gapDepth val="0"/>
        <c:shape val="box"/>
        <c:axId val="124426112"/>
        <c:axId val="124427648"/>
        <c:axId val="0"/>
      </c:bar3DChart>
      <c:catAx>
        <c:axId val="1244261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4427648"/>
        <c:crosses val="autoZero"/>
        <c:auto val="1"/>
        <c:lblAlgn val="ctr"/>
        <c:lblOffset val="100"/>
        <c:tickLblSkip val="1"/>
        <c:tickMarkSkip val="1"/>
      </c:catAx>
      <c:valAx>
        <c:axId val="12442764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4426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кв.2017г.</c:v>
                </c:pt>
                <c:pt idx="1">
                  <c:v>за 1 кв.2016г.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0.46</c:v>
                </c:pt>
                <c:pt idx="1">
                  <c:v>0.30000000000000021</c:v>
                </c:pt>
              </c:numCache>
            </c:numRef>
          </c:val>
        </c:ser>
        <c:gapDepth val="0"/>
        <c:shape val="box"/>
        <c:axId val="128871040"/>
        <c:axId val="129476864"/>
        <c:axId val="0"/>
      </c:bar3DChart>
      <c:catAx>
        <c:axId val="1288710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9476864"/>
        <c:crosses val="autoZero"/>
        <c:auto val="1"/>
        <c:lblAlgn val="ctr"/>
        <c:lblOffset val="100"/>
        <c:tickLblSkip val="1"/>
        <c:tickMarkSkip val="1"/>
      </c:catAx>
      <c:valAx>
        <c:axId val="12947686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8871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591E-3"/>
                </c:manualLayout>
              </c:layout>
              <c:showVal val="1"/>
            </c:dLbl>
            <c:dLbl>
              <c:idx val="1"/>
              <c:layout>
                <c:manualLayout>
                  <c:x val="1.6903537212647427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335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 2016 г.</c:v>
                </c:pt>
                <c:pt idx="1">
                  <c:v>за 1 кв.2017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Val val="1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Val val="1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 2016 г.</c:v>
                </c:pt>
                <c:pt idx="1">
                  <c:v>за 1 кв.2017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6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0309875633716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 2016 г.</c:v>
                </c:pt>
                <c:pt idx="1">
                  <c:v>за 1 кв.2017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</c:numCache>
            </c:numRef>
          </c:val>
        </c:ser>
        <c:gapDepth val="0"/>
        <c:shape val="box"/>
        <c:axId val="133042176"/>
        <c:axId val="133044864"/>
        <c:axId val="0"/>
      </c:bar3DChart>
      <c:catAx>
        <c:axId val="1330421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33044864"/>
        <c:crosses val="autoZero"/>
        <c:auto val="1"/>
        <c:lblAlgn val="ctr"/>
        <c:lblOffset val="100"/>
        <c:tickLblSkip val="1"/>
        <c:tickMarkSkip val="1"/>
      </c:catAx>
      <c:valAx>
        <c:axId val="13304486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330421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41"/>
          <c:w val="1"/>
          <c:h val="0.13073435750601234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45E-2"/>
                  <c:y val="-1.7293467687168591E-3"/>
                </c:manualLayout>
              </c:layout>
              <c:showVal val="1"/>
            </c:dLbl>
            <c:dLbl>
              <c:idx val="1"/>
              <c:layout>
                <c:manualLayout>
                  <c:x val="1.2775570236383158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  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33.300000000000004</c:v>
                </c:pt>
                <c:pt idx="1">
                  <c:v>42.1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  2017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7113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  2017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66.7</c:v>
                </c:pt>
                <c:pt idx="1">
                  <c:v>57.9</c:v>
                </c:pt>
              </c:numCache>
            </c:numRef>
          </c:val>
        </c:ser>
        <c:gapDepth val="0"/>
        <c:shape val="box"/>
        <c:axId val="140904320"/>
        <c:axId val="140905856"/>
        <c:axId val="0"/>
      </c:bar3DChart>
      <c:catAx>
        <c:axId val="1409043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0905856"/>
        <c:crosses val="autoZero"/>
        <c:auto val="1"/>
        <c:lblAlgn val="ctr"/>
        <c:lblOffset val="100"/>
        <c:tickLblSkip val="1"/>
        <c:tickMarkSkip val="1"/>
      </c:catAx>
      <c:valAx>
        <c:axId val="14090585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09043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69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598E-3"/>
                </c:manualLayout>
              </c:layout>
              <c:showVal val="1"/>
            </c:dLbl>
            <c:dLbl>
              <c:idx val="1"/>
              <c:layout>
                <c:manualLayout>
                  <c:x val="1.6903537212647438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383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Val val="1"/>
            </c:dLbl>
            <c:dLbl>
              <c:idx val="1"/>
              <c:layout>
                <c:manualLayout>
                  <c:x val="2.0639834881321241E-2"/>
                  <c:y val="8.5469098123773902E-17"/>
                </c:manualLayout>
              </c:layout>
              <c:showVal val="1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кв.2017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6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кв.2017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4</c:v>
                </c:pt>
              </c:numCache>
            </c:numRef>
          </c:val>
        </c:ser>
        <c:gapDepth val="0"/>
        <c:shape val="box"/>
        <c:axId val="141240192"/>
        <c:axId val="141241728"/>
        <c:axId val="0"/>
      </c:bar3DChart>
      <c:catAx>
        <c:axId val="1412401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241728"/>
        <c:crosses val="autoZero"/>
        <c:auto val="1"/>
        <c:lblAlgn val="ctr"/>
        <c:lblOffset val="100"/>
        <c:tickLblSkip val="1"/>
        <c:tickMarkSkip val="1"/>
      </c:catAx>
      <c:valAx>
        <c:axId val="1412417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2401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74"/>
          <c:w val="1"/>
          <c:h val="0.13073435750601242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49E-2"/>
                  <c:y val="-1.7293467687168598E-3"/>
                </c:manualLayout>
              </c:layout>
              <c:showVal val="1"/>
            </c:dLbl>
            <c:dLbl>
              <c:idx val="1"/>
              <c:layout>
                <c:manualLayout>
                  <c:x val="1.2775570236383166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2016 г.</c:v>
                </c:pt>
                <c:pt idx="1">
                  <c:v>за 1 кв. 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78.900000000000006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Val val="1"/>
            </c:dLbl>
            <c:dLbl>
              <c:idx val="1"/>
              <c:layout>
                <c:manualLayout>
                  <c:x val="2.8895768833849342E-2"/>
                  <c:y val="-1.4683479250408667E-6"/>
                </c:manualLayout>
              </c:layout>
              <c:showVal val="1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2016 г.</c:v>
                </c:pt>
                <c:pt idx="1">
                  <c:v>за 1 кв. 2017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639834881321241E-2"/>
                  <c:y val="4.662004662004662E-3"/>
                </c:manualLayout>
              </c:layout>
              <c:showVal val="1"/>
            </c:dLbl>
            <c:dLbl>
              <c:idx val="2"/>
              <c:layout>
                <c:manualLayout>
                  <c:x val="2.4767801857585141E-2"/>
                  <c:y val="8.5469098123773902E-17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2016 г.</c:v>
                </c:pt>
                <c:pt idx="1">
                  <c:v>за 1 кв. 2017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91.7</c:v>
                </c:pt>
                <c:pt idx="1">
                  <c:v>21.1</c:v>
                </c:pt>
              </c:numCache>
            </c:numRef>
          </c:val>
        </c:ser>
        <c:gapDepth val="0"/>
        <c:shape val="box"/>
        <c:axId val="141282304"/>
        <c:axId val="141361920"/>
        <c:axId val="0"/>
      </c:bar3DChart>
      <c:catAx>
        <c:axId val="1412823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361920"/>
        <c:crosses val="autoZero"/>
        <c:auto val="1"/>
        <c:lblAlgn val="ctr"/>
        <c:lblOffset val="100"/>
        <c:tickLblSkip val="1"/>
        <c:tickMarkSkip val="1"/>
      </c:catAx>
      <c:valAx>
        <c:axId val="14136192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28230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91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75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 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7</c:v>
                </c:pt>
              </c:numCache>
            </c:numRef>
          </c:val>
        </c:ser>
        <c:gapDepth val="0"/>
        <c:shape val="box"/>
        <c:axId val="140976896"/>
        <c:axId val="140978432"/>
        <c:axId val="0"/>
      </c:bar3DChart>
      <c:catAx>
        <c:axId val="1409768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0978432"/>
        <c:crosses val="autoZero"/>
        <c:auto val="1"/>
        <c:lblAlgn val="ctr"/>
        <c:lblOffset val="100"/>
        <c:tickLblSkip val="1"/>
        <c:tickMarkSkip val="1"/>
      </c:catAx>
      <c:valAx>
        <c:axId val="1409784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0976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 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36.800000000000004</c:v>
                </c:pt>
              </c:numCache>
            </c:numRef>
          </c:val>
        </c:ser>
        <c:gapDepth val="0"/>
        <c:shape val="box"/>
        <c:axId val="141454336"/>
        <c:axId val="141456128"/>
        <c:axId val="0"/>
      </c:bar3DChart>
      <c:catAx>
        <c:axId val="1414543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456128"/>
        <c:crosses val="autoZero"/>
        <c:auto val="1"/>
        <c:lblAlgn val="ctr"/>
        <c:lblOffset val="100"/>
        <c:tickLblSkip val="1"/>
        <c:tickMarkSkip val="1"/>
      </c:catAx>
      <c:valAx>
        <c:axId val="1414561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14543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2D59-F66D-422C-82FF-228BEC1D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2015-11-12T17:47:00Z</cp:lastPrinted>
  <dcterms:created xsi:type="dcterms:W3CDTF">2016-04-19T06:54:00Z</dcterms:created>
  <dcterms:modified xsi:type="dcterms:W3CDTF">2017-04-10T05:38:00Z</dcterms:modified>
</cp:coreProperties>
</file>